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2052000" cy="468540"/>
            <wp:docPr id="1" name="Picture 1" descr="博格港湾 Harbor Stem 品牌标志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hskb-v13-primar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4685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keepLines w:val="0"/>
        <w:spacing w:before="36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HSKB · SHENZHEN · GREATER BAY AREA · THE WORLD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56"/>
        </w:rPr>
        <w:t>博格港湾｜供应商与渠道合作方案</w:t>
      </w:r>
    </w:p>
    <w:p>
      <w:pPr>
        <w:keepLines w:val="0"/>
        <w:spacing w:before="0" w:after="40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8"/>
        </w:rPr>
        <w:t>伙伴准入、分级、项目协同、履约、结算、品牌授权与退出标准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6480"/>
        <w:gridCol w:w="3260"/>
      </w:tblGrid>
      <w:tr>
        <w:trPr>
          <w:cantSplit/>
        </w:trPr>
        <w:tc>
          <w:tcPr>
            <w:tcW w:type="dxa" w:w="648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34"/>
              </w:rPr>
              <w:t>给好奇心一座港湾，</w:t>
              <w:br/>
              <w:t>让创造力驶向未来。</w:t>
            </w:r>
          </w:p>
          <w:p>
            <w:r>
              <w:rPr>
                <w:rFonts w:ascii="Noto Sans SC" w:hAnsi="Noto Sans SC" w:eastAsia="Noto Sans SC"/>
                <w:b w:val="0"/>
                <w:i w:val="0"/>
                <w:color w:val="D6D3CC"/>
                <w:sz w:val="20"/>
              </w:rPr>
              <w:t>让每一种天赋被看见、被支持、被点亮。</w:t>
            </w:r>
          </w:p>
        </w:tc>
        <w:tc>
          <w:tcPr>
            <w:tcW w:type="dxa" w:w="326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24"/>
              </w:rPr>
              <w:t>V1.2</w:t>
              <w:br/>
              <w:t>2026.08</w:t>
              <w:br/>
              <w:br/>
              <w:t>对外沟通初版</w:t>
            </w:r>
          </w:p>
        </w:tc>
      </w:tr>
    </w:tbl>
    <w:p>
      <w:pPr>
        <w:keepLines w:val="0"/>
        <w:spacing w:before="360" w:after="16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4B4B4F"/>
          <w:sz w:val="19"/>
        </w:rPr>
        <w:t>合作政策初版｜具体费率、区域、独家、结算与授权以正式协议为准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文件状态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本文件用于意向沟通与方案共创，不构成录取、投资回报、独家授权、政府背书或最终合同承诺。合作单位、顾问履历、预算、案例与数据以正式授权及签约文件为准。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320" w:after="14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4B4B4F"/>
          <w:sz w:val="18"/>
        </w:rPr>
        <w:t>项目倡导人：郭丹锐  ｜  创始合伙人：Mia Huang  ｜  项目顾问：佘国治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02  /  PURPOSE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方案目的与适用范围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建立供应商和渠道伙伴两套独立但协同的管理体系，让每一次推荐、采购、交付、结算与品牌使用都有据可查。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供应商：提供场地、设备、课程、导师、健康、保险、交通、媒体或技术服务。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渠道伙伴：发现需求、组织资源、推进属地合作或共建中心。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同一机构兼具两种身份时，分别适用准入、合同与验收规则。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适用对象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政府与协会、高校与中小学、科技企业、园区社区、基金公益、教育与专业服务机构。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03  /  ECOSYSTEM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伙伴生态与价值交换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所有伙伴进入同一儿童保护、品牌、数据、课程与交付质量框架。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项目方 HSKB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品牌、产品、标准、项目管理、质量与结算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渠道伙伴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线索、属地关系、需求诊断、资源组织、项目协同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供应商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按SOW提供专业服务并接受验收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合作主体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政府/学校/企业/家庭等需求方与合同方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监督方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儿童保护、数据、财务、健康与利益冲突监督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04  /  SUPPLIER MAP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九类供应商渠道地图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供应商按风险和对未成年人接触程度分级，不以价格作为唯一选择标准。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场地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教室、实验室、展厅、营地、社区空间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消防、容量、监控、无障碍、应急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人员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导师、讲师、助教、活动执行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资质、背景、培训、未成年人规范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专业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心理、医疗、健康、法律、保险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法定资质、责任边界、转介与保密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硬件技术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机器人、AI、实验设备、软件平台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安全、数据、知识产权、维护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活动服务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交通、餐饮、住宿、材料、摄影媒体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安全、食品/车辆资质、肖像授权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05  /  CHANNEL MAP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六类渠道伙伴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渠道价值来自可信关系与组织能力，不来自夸大承诺或未经授权的背书。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协会/联盟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组织协同、专家与学校企业连接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学校/教育集团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学生需求、校内场景与家校协同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企业/园区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真实课题、工程导师、员工家庭与场地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社区/公共平台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属地公共服务、空间和家庭入口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基金/公益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奖助、专项项目与社会影响评估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专业顾问/推荐人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经授权的项目引荐与需求沟通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06  /  PARTNER LEVELS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三类渠道层级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层级代表责任与授权深度，不代表对教育结果或政府资源的背书。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推荐伙伴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登记并引荐有效线索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项目伙伴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参与方案、招募、属地执行或资源组织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区域共建伙伴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投入场地、团队、公共/产业资源并承担年度目标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07  /  ONBOARDING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伙伴准入七步法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任何合作从资料核验开始，不从口头承诺开始。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01 申请：提交主体、能力、案例、资质与合作诉求。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02 初筛：品牌、合规、儿童保护与利益冲突。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03 尽调：现场/访谈、证照、保险、数据、财务与舆情。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04 试合作：一个明确范围、短周期、可验收项目。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05 评估：质量、时效、安全、沟通、成本与复盘。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06 分级：推荐、项目或区域共建伙伴。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07 年审：续约、升级、整改、暂停或退出。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08  /  DUE DILIGENCE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准入尽调清单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尽调深度随未成年人接触、数据处理、资金规模和品牌授权而提高。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主体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营业执照/登记证、法定代表、授权人、账户一致性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能力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团队、资质、案例、设备、产能、服务区域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儿童保护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人员准入、培训、行为规范、应急与举报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数据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收集范围、存储、访问、第三方、删除与事件响应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财务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报价、税票、收付款、保险、关联交易与反舞弊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品牌与舆情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商标、授权、宣传口径、重大争议与利益冲突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09  /  CHILD SAFEGUARDING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未成年人保护是准入门槛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直接接触学生、获取学生信息或进入活动现场的伙伴，必须接受更高等级的儿童保护要求。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不得与未成年人进行未经授权的一对一私下联系。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不得收集与当前服务无关的成绩、健康或家庭信息。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摄影、采访、作品发布和媒体传播必须单独授权。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活动必须有签到、交接、人员比例、应急和事件记录。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健康风险由持证机构承接，普通导师不得越界诊断。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一票否决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隐瞒资质、重大安全风险、骚扰歧视、数据滥用、虚假宣传或拒不配合事件调查。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10  /  PROJECT FLOW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从线索到验收的端到端流程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渠道负责真实需求与授权沟通，项目方统一方案、报价、合同和交付管理，供应商按SOW履约。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00"/>
        <w:gridCol w:w="3000"/>
        <w:gridCol w:w="5440"/>
      </w:tblGrid>
      <w:tr>
        <w:trPr>
          <w:cantSplit/>
          <w:tblHeader w:val="true"/>
          <w:cantSplit/>
        </w:trP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阶段</w:t>
            </w:r>
          </w:p>
        </w:tc>
        <w:tc>
          <w:tcPr>
            <w:tcW w:type="dxa" w:w="30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动作</w:t>
            </w:r>
          </w:p>
        </w:tc>
        <w:tc>
          <w:tcPr>
            <w:tcW w:type="dxa" w:w="54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要求 / 结果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1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线索登记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来源、需求、联系人、授权范围、冲突检查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2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需求诊断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对象、问题、资源、预算、时间、风险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3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方案与报价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项目方统一版本、审批与有效期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4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合同与SOW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责任、交付、儿童保护、数据、IP、结算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5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运行与记录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里程碑、变更、事件、档案与沟通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6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验收与复盘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成果、质量、满意度、付款与伙伴评分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11  /  COMMERCIAL TERMS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合作与结算原则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不在首版虚构固定佣金或分成；每种合作按真实贡献、交付责任、成本与风险形成书面机制。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推荐伙伴：仅对已登记、无冲突、真实成交且完成回款的线索结算。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项目伙伴：按明确交付包、里程碑验收与项目服务费/分成结算。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供应商：按采购订单/SOW、验收、合规发票与付款周期结算。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区域共建：单独约定投入、品牌、收入成本、公共服务、年审与退出。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禁止事项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不得向公职人员、学校决策人员、未成年人或监护人提供不当利益；不得以‘关系费’‘保录费’‘获奖费’等名义交易。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12  /  LEAD RULES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线索登记与冲突规则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保护真实贡献，同时避免重复报备、抢客和未经授权联系。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必填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机构/家庭称谓、授权联系人、需求、来源、提交时间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有效条件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真实可联系、需求明确、获得沟通授权、无既有冲突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保护期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由合作协议设定；长期无进展需复核或释放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冲突处理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以书面记录、实际贡献、客户意愿和合规为依据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隐私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不得提交未成年人敏感信息；最少必要、限制访问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13  /  TERRITORY &amp; BRAND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区域合作与品牌授权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‘港湾青少年智能科技成长中心’支持合规共建命名，但不存在自动区域独家或永久授权。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品牌授权以前置尽调、试点验收、指定场地和期限为条件。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联合命名、招牌、网站、公众号、新闻与招生物料必须审批。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不得使用未签约政府、协会、学校、企业或媒体标志。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区域保护需与最低投入、质量、合规、学生权益和年度目标绑定。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发生重大风险时，项目方可暂停标志、名称与对外传播使用。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14  /  SLA &amp; KPI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供应商SLA与渠道KPI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评价既看业务结果，也看安全、质量、透明与长期合作。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质量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交付准确、专业标准、学生/客户体验、返工与投诉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时效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响应、里程碑、变更沟通、资料与发票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安全合规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儿童保护、数据、资质、事件与整改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经营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有效线索、成交、回款、续约、成本与资源投入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共创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真实课题、导师、场景、内容与复用能力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品牌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口径一致、授权使用、舆情与社会价值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15  /  DATA &amp; IP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数据、保密与知识产权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合作双方仅在明确目的和最少必要范围内处理信息；学生、企业和平台资产分别管理。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学生数据：监护人知情、分级权限、可撤回和可删除。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企业数据：按保密等级、使用范围与存储期限处理。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课程/品牌：明确许可范围、期限、渠道与衍生内容。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学生作品：权利与展示授权分开，不因参与项目自动转让。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第三方工具：上线前完成数据流、权限与供应商风险审查。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16  /  RISK &amp; EXIT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整改、暂停与退出机制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伙伴关系以学生权益、法律合规和项目声誉为最高优先。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00"/>
        <w:gridCol w:w="3000"/>
        <w:gridCol w:w="5440"/>
      </w:tblGrid>
      <w:tr>
        <w:trPr>
          <w:cantSplit/>
          <w:tblHeader w:val="true"/>
          <w:cantSplit/>
        </w:trP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阶段</w:t>
            </w:r>
          </w:p>
        </w:tc>
        <w:tc>
          <w:tcPr>
            <w:tcW w:type="dxa" w:w="30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动作</w:t>
            </w:r>
          </w:p>
        </w:tc>
        <w:tc>
          <w:tcPr>
            <w:tcW w:type="dxa" w:w="54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要求 / 结果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一般偏差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时效、格式、轻微质量问题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限期纠正、记录与复评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重大偏差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重复投诉、关键交付失败、未经授权传播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暂停新项目、专项整改、降级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严重事件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儿童安全、数据泄露、欺诈、资质造假、重大舆情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立即停服/停权、事件响应、法律与监管报告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退出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合同到期、未达标、利益冲突或战略调整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交接、数据返还/删除、品牌撤除、结算与复盘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17  /  30-DAY ONBOARDING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30天伙伴上线计划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快速不等于跳过准入；用并行材料与明确决策门缩短周期。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00"/>
        <w:gridCol w:w="3000"/>
        <w:gridCol w:w="5440"/>
      </w:tblGrid>
      <w:tr>
        <w:trPr>
          <w:cantSplit/>
          <w:tblHeader w:val="true"/>
          <w:cantSplit/>
        </w:trP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阶段</w:t>
            </w:r>
          </w:p>
        </w:tc>
        <w:tc>
          <w:tcPr>
            <w:tcW w:type="dxa" w:w="30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动作</w:t>
            </w:r>
          </w:p>
        </w:tc>
        <w:tc>
          <w:tcPr>
            <w:tcW w:type="dxa" w:w="54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要求 / 结果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第1—3天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申请与资料清单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主体、能力、资质、案例、报价、数据与儿童保护文件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第4—10天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尽调与访谈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现场/视频核验、风险分级、利益冲突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第11—15天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试合作设计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SOW、指标、人员、预算、应急与授权</w:t>
            </w:r>
          </w:p>
        </w:tc>
      </w:tr>
      <w:tr>
        <w:trPr>
          <w:cantSplit/>
        </w:trPr>
        <w:tc>
          <w:tcPr>
            <w:tcW w:type="dxa" w:w="13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第16—25天</w:t>
            </w:r>
          </w:p>
        </w:tc>
        <w:tc>
          <w:tcPr>
            <w:tcW w:type="dxa" w:w="30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试运行</w:t>
            </w:r>
          </w:p>
        </w:tc>
        <w:tc>
          <w:tcPr>
            <w:tcW w:type="dxa" w:w="54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小范围交付、记录、观察与问题修正</w:t>
            </w:r>
          </w:p>
        </w:tc>
      </w:tr>
      <w:tr>
        <w:trPr>
          <w:cantSplit/>
        </w:trPr>
        <w:tc>
          <w:tcPr>
            <w:tcW w:type="dxa" w:w="13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第26—30天</w:t>
            </w:r>
          </w:p>
        </w:tc>
        <w:tc>
          <w:tcPr>
            <w:tcW w:type="dxa" w:w="30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验收与分级</w:t>
            </w:r>
          </w:p>
        </w:tc>
        <w:tc>
          <w:tcPr>
            <w:tcW w:type="dxa" w:w="54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评分、整改、合同/名录、下一项目计划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18  /  APPLICATION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伙伴申请资料清单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以下资料用于初步评估；涉及个人隐私和商业秘密的材料通过指定安全渠道提交。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主体证照、法定代表/负责人及授权联系人。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服务介绍、团队、资质、项目案例和服务区域。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报价或合作机制建议、开票与收款主体。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儿童保护、数据安全、保险、应急与投诉机制。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品牌、课程、技术或媒体相关知识产权证明。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关联关系、利益冲突、重大诉讼与舆情说明。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申请结果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通过初筛仅代表进入尽调或试合作，不代表入库、独家、政府/学校背书或长期品牌授权。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19  /  FOUNDING CONTACT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创始合伙人与治理联系人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项目合作由战略、合规与教育质量共同评审。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600"/>
        <w:gridCol w:w="4050"/>
        <w:gridCol w:w="4090"/>
      </w:tblGrid>
      <w:tr>
        <w:trPr>
          <w:cantSplit/>
          <w:tblHeader w:val="true"/>
          <w:cantSplit/>
        </w:trPr>
        <w:tc>
          <w:tcPr>
            <w:tcW w:type="dxa" w:w="16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角色</w:t>
            </w:r>
          </w:p>
        </w:tc>
        <w:tc>
          <w:tcPr>
            <w:tcW w:type="dxa" w:w="40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姓名 / 身份</w:t>
            </w:r>
          </w:p>
        </w:tc>
        <w:tc>
          <w:tcPr>
            <w:tcW w:type="dxa" w:w="40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在项目中的职责</w:t>
            </w:r>
          </w:p>
        </w:tc>
      </w:tr>
      <w:tr>
        <w:trPr>
          <w:cantSplit/>
        </w:trPr>
        <w:tc>
          <w:tcPr>
            <w:tcW w:type="dxa" w:w="16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项目倡导人</w:t>
            </w:r>
          </w:p>
        </w:tc>
        <w:tc>
          <w:tcPr>
            <w:tcW w:type="dxa" w:w="40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郭丹锐</w:t>
              <w:br/>
              <w:t>北京大学广东校友会副会长；科技创业投资人、科创导师；Xccelerate科技基金会（XTF）合伙人&amp;基金经理</w:t>
            </w:r>
          </w:p>
        </w:tc>
        <w:tc>
          <w:tcPr>
            <w:tcW w:type="dxa" w:w="40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战略倡导、产业与基金连接、科创导师网络、公共合作推动</w:t>
            </w:r>
          </w:p>
        </w:tc>
      </w:tr>
      <w:tr>
        <w:trPr>
          <w:cantSplit/>
        </w:trPr>
        <w:tc>
          <w:tcPr>
            <w:tcW w:type="dxa" w:w="16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创始合伙人</w:t>
            </w:r>
          </w:p>
        </w:tc>
        <w:tc>
          <w:tcPr>
            <w:tcW w:type="dxa" w:w="40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Mia Huang</w:t>
              <w:br/>
              <w:t>公募基金合规部负责人</w:t>
            </w:r>
          </w:p>
        </w:tc>
        <w:tc>
          <w:tcPr>
            <w:tcW w:type="dxa" w:w="40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合规治理、风险框架、伙伴准入、信息披露与制度建设</w:t>
            </w:r>
          </w:p>
        </w:tc>
      </w:tr>
      <w:tr>
        <w:trPr>
          <w:cantSplit/>
        </w:trPr>
        <w:tc>
          <w:tcPr>
            <w:tcW w:type="dxa" w:w="16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项目顾问</w:t>
            </w:r>
          </w:p>
        </w:tc>
        <w:tc>
          <w:tcPr>
            <w:tcW w:type="dxa" w:w="40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佘国治</w:t>
            </w:r>
          </w:p>
        </w:tc>
        <w:tc>
          <w:tcPr>
            <w:tcW w:type="dxa" w:w="40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教育治理、学校发展、人才培养机制与重大质量建议</w:t>
            </w:r>
          </w:p>
        </w:tc>
      </w:tr>
      <w:tr>
        <w:trPr>
          <w:cantSplit/>
        </w:trPr>
        <w:tc>
          <w:tcPr>
            <w:tcW w:type="dxa" w:w="16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顾问团队</w:t>
            </w:r>
          </w:p>
        </w:tc>
        <w:tc>
          <w:tcPr>
            <w:tcW w:type="dxa" w:w="40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 / 科创 / 健康 / 合规 / 公益席位</w:t>
            </w:r>
          </w:p>
        </w:tc>
        <w:tc>
          <w:tcPr>
            <w:tcW w:type="dxa" w:w="40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按准入、利益冲突、年度履职与对外授权机制逐步邀请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人物信息说明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姓名、照片及履历由项目方提供；首版仅公开已确认信息，完整履历、机构身份和肖像使用范围以本人书面授权为准。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20  /  NEXT STEP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用一个清晰可验收的项目开始合作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建议伙伴提交一个最擅长的资源或服务包，并与项目方共同定义30天试合作。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明确一个真实需求与最终使用者。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明确服务范围、责任、人员、数据和安全边界。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明确三项验收指标和一个退出条件。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试合作完成后决定入库、分级、长期协议或停止。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22"/>
              </w:rPr>
              <w:t>合作申请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FFFFFF"/>
                <w:sz w:val="18"/>
              </w:rPr>
              <w:t>请通过 hskb.com 项目资料与共建入口获取最新文件；正式联系人和提交渠道由项目方确认后公布。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907" w:left="1077" w:header="425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>
      <w:rPr>
        <w:rFonts w:ascii="Noto Sans SC" w:hAnsi="Noto Sans SC" w:eastAsia="Noto Sans SC"/>
        <w:b w:val="0"/>
        <w:i w:val="0"/>
        <w:color w:val="4B4B4F"/>
        <w:sz w:val="16"/>
      </w:rPr>
      <w:t>博格港湾｜供应商与渠道合作方案  ·  V1.2  ·  hskb.com</w:t>
    </w:r>
    <w:r>
      <w:rPr>
        <w:rFonts w:ascii="Noto Sans SC" w:hAnsi="Noto Sans SC" w:eastAsia="Noto Sans SC"/>
        <w:b w:val="0"/>
        <w:i w:val="0"/>
        <w:color w:val="0B0B0D"/>
        <w:sz w:val="16"/>
      </w:rPr>
      <w:t xml:space="preserve">                                                        </w:t>
    </w:r>
    <w:r>
      <w:rPr>
        <w:rFonts w:ascii="Noto Sans SC" w:hAnsi="Noto Sans SC" w:eastAsia="Noto Sans SC"/>
        <w:b w:val="0"/>
        <w:i w:val="0"/>
        <w:color w:val="4B4B4F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Noto Sans SC" w:hAnsi="Noto Sans SC" w:eastAsia="Noto Sans SC"/>
        <w:b/>
        <w:i w:val="0"/>
        <w:color w:val="FF4B3E"/>
        <w:sz w:val="16"/>
      </w:rPr>
      <w:t>HSKB  ·  HARBOR STEM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line="324" w:lineRule="auto" w:after="140"/>
    </w:pPr>
    <w:rPr>
      <w:rFonts w:ascii="Noto Sans SC" w:hAnsi="Noto Sans SC" w:eastAsia="Noto Sans SC"/>
      <w:color w:val="0B0B0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Noto Sans SC" w:hAnsi="Noto Sans SC" w:eastAsia="Noto Sans SC"/>
      <w:b/>
      <w:bCs/>
      <w:color w:val="FF4B3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博格港湾｜供应商与渠道合作方案</dc:title>
  <dc:subject>伙伴准入、分级、项目协同、履约、结算、品牌授权与退出标准</dc:subject>
  <dc:creator>博格港湾 HSKB</dc:creator>
  <cp:keywords/>
  <dc:description>V1.2 对外沟通初版；合作、人物、预算及签约内容以正式书面文件为准。</dc:description>
  <cp:lastModifiedBy>博格港湾 HSKB</cp:lastModifiedBy>
  <cp:revision>1</cp:revision>
  <dcterms:created xsi:type="dcterms:W3CDTF">2013-12-23T23:15:00Z</dcterms:created>
  <dcterms:modified xsi:type="dcterms:W3CDTF">2013-12-23T23:15:00Z</dcterms:modified>
  <cp:category/>
</cp:coreProperties>
</file>