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2052000" cy="468540"/>
            <wp:docPr id="1" name="Picture 1" descr="博格港湾 Harbor Stem 品牌标志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hskb-v13-primar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2000" cy="4685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keepLines w:val="0"/>
        <w:spacing w:before="36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7"/>
        </w:rPr>
        <w:t>HSKB · SHENZHEN · GREATER BAY AREA · THE WORLD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56"/>
        </w:rPr>
        <w:t>博格港湾青少年智能科技成长中心｜商业计划书</w:t>
      </w:r>
    </w:p>
    <w:p>
      <w:pPr>
        <w:keepLines w:val="0"/>
        <w:spacing w:before="0" w:after="40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8"/>
        </w:rPr>
        <w:t>城市级青少年AI与科技成长平台的产品、经营、治理与扩张模型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6480"/>
        <w:gridCol w:w="3260"/>
      </w:tblGrid>
      <w:tr>
        <w:trPr>
          <w:cantSplit/>
        </w:trPr>
        <w:tc>
          <w:tcPr>
            <w:tcW w:type="dxa" w:w="648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34"/>
              </w:rPr>
              <w:t>给好奇心一座港湾，</w:t>
              <w:br/>
              <w:t>让创造力驶向未来。</w:t>
            </w:r>
          </w:p>
          <w:p>
            <w:r>
              <w:rPr>
                <w:rFonts w:ascii="Noto Sans SC" w:hAnsi="Noto Sans SC" w:eastAsia="Noto Sans SC"/>
                <w:b w:val="0"/>
                <w:i w:val="0"/>
                <w:color w:val="D6D3CC"/>
                <w:sz w:val="20"/>
              </w:rPr>
              <w:t>让每一种天赋被看见、被支持、被点亮。</w:t>
            </w:r>
          </w:p>
        </w:tc>
        <w:tc>
          <w:tcPr>
            <w:tcW w:type="dxa" w:w="326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r>
              <w:rPr>
                <w:rFonts w:ascii="Noto Sans SC" w:hAnsi="Noto Sans SC" w:eastAsia="Noto Sans SC"/>
                <w:b/>
                <w:i w:val="0"/>
                <w:color w:val="FFFFFF"/>
                <w:sz w:val="24"/>
              </w:rPr>
              <w:t>V1.2</w:t>
              <w:br/>
              <w:t>2026.08</w:t>
              <w:br/>
              <w:br/>
              <w:t>对外沟通初版</w:t>
            </w:r>
          </w:p>
        </w:tc>
      </w:tr>
    </w:tbl>
    <w:p>
      <w:pPr>
        <w:keepLines w:val="0"/>
        <w:spacing w:before="360" w:after="16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4B4B4F"/>
          <w:sz w:val="19"/>
        </w:rPr>
        <w:t>规划稿｜财务变量与预算待管理层基于真实项目输入，不构成投资回报承诺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文件状态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本文件用于意向沟通与方案共创，不构成录取、投资回报、独家授权、政府背书或最终合同承诺。合作单位、顾问履历、预算、案例与数据以正式授权及签约文件为准。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320" w:after="14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4B4B4F"/>
          <w:sz w:val="18"/>
        </w:rPr>
        <w:t>项目倡导人：郭丹锐  ｜  创始合伙人：Mia Huang  ｜  项目顾问：佘国治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02  /  EXECUTIVE SUMMARY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商业计划摘要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以城市级青少年成长平台为核心，形成公共项目、学校服务、企业共建、家庭定制与公益奖助相互支持的可持续组合。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产品不是单一课程，而是‘诊断—项目—导师—档案—评估’的连续服务。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第一阶段以90天试点与学年项目建立证据，不急于大规模授权。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收入与教育判断隔离，测评不与高价服务强制绑定。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经营原则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以质量和长期信任驱动增长；只有儿童保护、课程质量、导师管理和数据合规通过评估后才复制。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03  /  STRATEGIC OPPORTUNITY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为什么是深圳，为什么是现在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AI教育、科学教育、产业资源与大湾区协同形成独特机会，但市场真正稀缺的是可信治理和连续交付。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深圳拥有密集科技企业与真实工程问题。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香港及大湾区高校提供国际化、研究与产业连接。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政府、学校、家庭同时需要兼顾公平与个性的支持平台。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APEC深圳2026可作为城市青年创新叙事窗口，但官方关联必须授权。</w:t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04  /  PRODUCT SYSTEM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一套底层模型，多种交付产品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1张成长地图、5类导师、6大成长系统与N个场景构成统一产品底盘。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入口产品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测评/诊断说明、30天体验、城市科技日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低风险进入与需求发现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核心产品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90天项目、学校学年计划、B&amp;G天才少年计划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连续培养与成长证据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机构产品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企业工程挑战、政府区域示范、成长中心共建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资源协同与组织成果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平台产品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导师培训、课程标准、质量督导、数字档案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标准化与长期网络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05  /  CUSTOMER SEGMENTS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五类付费与支持主体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同一学生价值由不同主体从公共、教育、产业、家庭与公益角度共同支持。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2100"/>
        <w:gridCol w:w="7640"/>
      </w:tblGrid>
      <w:tr>
        <w:trPr>
          <w:cantSplit/>
          <w:tblHeader w:val="true"/>
          <w:cantSplit/>
        </w:trPr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764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内容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政府/协会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公共科技教育、区域人才、场地资源协同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差异化支持、科学教育、教师负担、成果证据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科技企业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CSR/ESG、工程教育、员工参与、人才生态</w:t>
            </w:r>
          </w:p>
        </w:tc>
      </w:tr>
      <w:tr>
        <w:trPr>
          <w:cantSplit/>
        </w:trPr>
        <w:tc>
          <w:tcPr>
            <w:tcW w:type="dxa" w:w="2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家庭</w:t>
            </w:r>
          </w:p>
        </w:tc>
        <w:tc>
          <w:tcPr>
            <w:tcW w:type="dxa" w:w="764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学习节奏、天赋发展、项目成果、未来路径</w:t>
            </w:r>
          </w:p>
        </w:tc>
      </w:tr>
      <w:tr>
        <w:trPr>
          <w:cantSplit/>
        </w:trPr>
        <w:tc>
          <w:tcPr>
            <w:tcW w:type="dxa" w:w="2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基金公益</w:t>
            </w:r>
          </w:p>
        </w:tc>
        <w:tc>
          <w:tcPr>
            <w:tcW w:type="dxa" w:w="764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机会公平、特殊群体、高潜人才支持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06  /  VALUE PROPOSITION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不同伙伴获得什么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平台把分散资源转化为可管理、可复核、可持续的学生成长成果。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对学生：更适合的挑战、支持与真实成果。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对学校：校本机制、教师能力和连续档案。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对政府：公共价值、区域协同和可复制标准。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对企业：真实工程教育、员工参与和社会价值证据。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对家庭：减少碎片化选择，形成长期成长路线。</w:t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07  /  REVENUE MODEL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商业与公益可持续组合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收入不依赖单一招生渠道，避免经营波动反向影响教育判断。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G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政府/协会项目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区域示范、公共项目、评估与运营服务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B-School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学校服务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学年项目、课程共建、教师发展、档案与评价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B-Enterprise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企业共建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工程挑战、主题中心、导师与社会价值报告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F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家庭服务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30天、90天与学年定制培养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P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基金/公益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奖助、专项人群与社会影响项目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Platform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成熟后平台服务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导师培训、标准授权、质量督导与数字工具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08  /  PRICING LOGIC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先定义交付，再形成报价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首版不编造统一价格。每个项目按对象、人数、周期、导师、场地、设备、安全与报告要求形成可追溯报价。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服务范围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对象 / 人数 / 周期 / 课时 / 项目数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待项目方输入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专业配置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五类导师 / 持证机构 / 专家评审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待资源确认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场景成本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场地 / 设备 / 交通 / 保险 / 材料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据实询价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研发交付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课程转译 / 系统 / 报告 / 品牌内容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按复杂度核算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报价公式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项目报价 = 标准项目包 + 导师与专业服务 + 场地设备与材料 + 安全保险与运营 + 差旅活动 + 定制研发 + 合理管理费。所有变量由真实资源清单支持。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09  /  GO-TO-MARKET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从可信试点进入区域网络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增长路径不是广告招生优先，而是‘可信伙伴—示范项目—证据案例—标准复制’。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第一入口：政府部门与协会，形成公共议题与场地协同。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第二入口：学校与教育联盟，形成学生与教师真实使用。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第三入口：科技企业，形成课题、导师、设备和传播资源。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第四入口：高净值家庭与公益基金，支撑定制培养与机会公平。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首批目标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选择1所学校、1个公共空间、1家科技企业完成一个共享质量框架下的90天试点。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10  /  CHANNEL ENGINE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渠道伙伴与供应商必须分开治理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渠道负责发现需求与组织合作，供应商负责具体履约；同一主体兼具两种身份时分别签署规则和验收。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推荐伙伴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引荐有效线索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线索登记、授权沟通、合规奖励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项目伙伴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参与方案、招募或属地运营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责任清单、交付节点、项目分成/服务费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区域共建伙伴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投入场地、团队、公共或产业资源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年度目标、品牌授权、质量督导、退出机制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供应商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提供场地设备导师保险交通等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准入、采购、SLA、验收与付款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11  /  OPERATING MODEL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轻总部、强标准、项目制交付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博格港湾负责品牌、产品、标准、项目管理与质量；属地伙伴负责资源与执行；专业机构承担法定专业职责。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总部能力：品牌、产品、课程标准、数据、质量、伙伴治理。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项目团队：项目负责人、成长导师、课程/科研/产业/健康资源。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属地网络：学校、场地、企业、高校、社区与公益伙伴。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独立监督：儿童保护、数据、财务与利益冲突机制。</w:t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12  /  DELIVERY CAPACITY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用标准单元管理产能与质量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每个项目以人数、导师时数、场地容量、项目难度和安全等级形成产能表，避免过度招生。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30天体验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小组任务 + AI学习循环 + 基线/复盘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验证适配与参与质量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90天项目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8—12周项目 + 导师节点 + 成果日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验证成果、协同与安全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学校学年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课程 + 项目 + 教师共备 + 年度报告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形成校本机制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区域中心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多项目组合 + 公共服务 + 质量评估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形成网络与标准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13  /  BRAND &amp; IP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品牌、课程、数据和学生成果分别确权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联合冠名不等于品牌转让，学生作品不等于平台资产，真实企业课题不等于公开技术。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HSKB V13主标、名称与应用规范统一授权。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课程和任务书明确原创、委托开发与第三方素材权利。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学生作品、肖像和传播另行取得监护人与学生授权。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企业课题、数据、专利和商业秘密按项目协议处理。</w:t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14  /  FOUNDING TEAM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创始合伙人与顾问治理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团队结构同时覆盖战略、投资科创、合规风险与教育治理。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600"/>
        <w:gridCol w:w="4050"/>
        <w:gridCol w:w="4090"/>
      </w:tblGrid>
      <w:tr>
        <w:trPr>
          <w:cantSplit/>
          <w:tblHeader w:val="true"/>
          <w:cantSplit/>
        </w:trPr>
        <w:tc>
          <w:tcPr>
            <w:tcW w:type="dxa" w:w="16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角色</w:t>
            </w:r>
          </w:p>
        </w:tc>
        <w:tc>
          <w:tcPr>
            <w:tcW w:type="dxa" w:w="40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姓名 / 身份</w:t>
            </w:r>
          </w:p>
        </w:tc>
        <w:tc>
          <w:tcPr>
            <w:tcW w:type="dxa" w:w="40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在项目中的职责</w:t>
            </w:r>
          </w:p>
        </w:tc>
      </w:tr>
      <w:tr>
        <w:trPr>
          <w:cantSplit/>
        </w:trPr>
        <w:tc>
          <w:tcPr>
            <w:tcW w:type="dxa" w:w="16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项目倡导人</w:t>
            </w:r>
          </w:p>
        </w:tc>
        <w:tc>
          <w:tcPr>
            <w:tcW w:type="dxa" w:w="40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郭丹锐</w:t>
              <w:br/>
              <w:t>北京大学广东校友会副会长；科技创业投资人、科创导师；Xccelerate科技基金会（XTF）合伙人&amp;基金经理</w:t>
            </w:r>
          </w:p>
        </w:tc>
        <w:tc>
          <w:tcPr>
            <w:tcW w:type="dxa" w:w="40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战略倡导、产业与基金连接、科创导师网络、公共合作推动</w:t>
            </w:r>
          </w:p>
        </w:tc>
      </w:tr>
      <w:tr>
        <w:trPr>
          <w:cantSplit/>
        </w:trPr>
        <w:tc>
          <w:tcPr>
            <w:tcW w:type="dxa" w:w="16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创始合伙人</w:t>
            </w:r>
          </w:p>
        </w:tc>
        <w:tc>
          <w:tcPr>
            <w:tcW w:type="dxa" w:w="40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Mia Huang</w:t>
              <w:br/>
              <w:t>公募基金合规部负责人</w:t>
            </w:r>
          </w:p>
        </w:tc>
        <w:tc>
          <w:tcPr>
            <w:tcW w:type="dxa" w:w="40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合规治理、风险框架、伙伴准入、信息披露与制度建设</w:t>
            </w:r>
          </w:p>
        </w:tc>
      </w:tr>
      <w:tr>
        <w:trPr>
          <w:cantSplit/>
        </w:trPr>
        <w:tc>
          <w:tcPr>
            <w:tcW w:type="dxa" w:w="16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项目顾问</w:t>
            </w:r>
          </w:p>
        </w:tc>
        <w:tc>
          <w:tcPr>
            <w:tcW w:type="dxa" w:w="40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佘国治</w:t>
            </w:r>
          </w:p>
        </w:tc>
        <w:tc>
          <w:tcPr>
            <w:tcW w:type="dxa" w:w="40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教育治理、学校发展、人才培养机制与重大质量建议</w:t>
            </w:r>
          </w:p>
        </w:tc>
      </w:tr>
      <w:tr>
        <w:trPr>
          <w:cantSplit/>
        </w:trPr>
        <w:tc>
          <w:tcPr>
            <w:tcW w:type="dxa" w:w="16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顾问团队</w:t>
            </w:r>
          </w:p>
        </w:tc>
        <w:tc>
          <w:tcPr>
            <w:tcW w:type="dxa" w:w="40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教育 / 科创 / 健康 / 合规 / 公益席位</w:t>
            </w:r>
          </w:p>
        </w:tc>
        <w:tc>
          <w:tcPr>
            <w:tcW w:type="dxa" w:w="40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按准入、利益冲突、年度履职与对外授权机制逐步邀请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人物信息说明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姓名、照片及履历由项目方提供；首版仅公开已确认信息，完整履历、机构身份和肖像使用范围以本人书面授权为准。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15  /  IMPACT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社会影响是经营质量的一部分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机会公平、学习改善、创新实践、全人发展、未来衔接和平台协同共同构成年度影响仪表盘。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不以提分率、获奖率或录取率代表全部价值。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量化指标与作品、访谈、观察、反思共同形成证据。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奖助名额、付费项目与测评结果建立利益隔离。</w:t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16  /  FINANCIAL MODEL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财务模型：先收集真实变量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首版以模型而非虚构数字支持决策。项目方完成价格、资源、人效与周期输入后，形成月度现金流和三年情景。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收入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政府项目 + 学校项目 + 企业项目 + 家庭项目 + 公益专项 + 平台服务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</w:tcPr>
          <w:p/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直接成本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导师/教师 + 场地设备 + 材料交通保险 + 持证专业服务 + 项目运营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</w:tcPr>
          <w:p/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固定投入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核心团队 + 研发平台 + 品牌内容 + 合规法务 + 质量监督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</w:tcPr>
          <w:p/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关键指标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项目毛利 / 获客周期 / 回款周期 / 人效 / 续约 / 现金安全边际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</w:tcPr>
          <w:p/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当前数据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价格、人数、导师费、场地费、交付工时、回款条款：均待管理层输入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</w:tcPr>
          <w:p/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17  /  SCENARIOS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三种经营情景与扩张闸门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情景分析用于检验现金与交付能力，不作为投资回报承诺。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保守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以1—2个90天试点为主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目标：验证交付、授权、回款与安全流程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标准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试点 + 1个学年项目 + 企业共建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目标：形成复购、案例与基础团队产能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扩展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多区域中心与平台服务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前提：质量、儿童保护、数据、导师与现金均通过闸门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停止/调整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续约低、风险事件、回款失衡或质量下降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暂停扩张，复盘产品、渠道与运营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18  /  ROADMAP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2026—2029分阶段路线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先建立标准与证据，再建立网络与平台。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tbl>
      <w:tblPr>
        <w:tblW w:type="auto" w:w="0"/>
        <w:tblLook w:firstColumn="1" w:firstRow="1" w:lastColumn="0" w:lastRow="0" w:noHBand="0" w:noVBand="1" w:val="04A0"/>
        <w:jc w:val="center"/>
        <w:tblLayout w:type="fixed"/>
      </w:tblPr>
      <w:tblGrid>
        <w:gridCol w:w="1350"/>
        <w:gridCol w:w="3100"/>
        <w:gridCol w:w="5290"/>
      </w:tblGrid>
      <w:tr>
        <w:trPr>
          <w:cantSplit/>
          <w:tblHeader w:val="true"/>
          <w:cantSplit/>
        </w:trPr>
        <w:tc>
          <w:tcPr>
            <w:tcW w:type="dxa" w:w="135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类别</w:t>
            </w:r>
          </w:p>
        </w:tc>
        <w:tc>
          <w:tcPr>
            <w:tcW w:type="dxa" w:w="310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服务 / 机制</w:t>
            </w:r>
          </w:p>
        </w:tc>
        <w:tc>
          <w:tcPr>
            <w:tcW w:type="dxa" w:w="5290"/>
            <w:tcMar>
              <w:top w:w="110" w:type="dxa"/>
              <w:start w:w="140" w:type="dxa"/>
              <w:bottom w:w="110" w:type="dxa"/>
              <w:end w:w="140" w:type="dxa"/>
            </w:tcMar>
            <w:shd w:fill="0B0B0D"/>
          </w:tcPr>
          <w:p>
            <w:pPr>
              <w:spacing w:after="0"/>
            </w:pPr>
            <w:r>
              <w:rPr>
                <w:rFonts w:ascii="Noto Sans SC" w:hAnsi="Noto Sans SC" w:eastAsia="Noto Sans SC"/>
                <w:b/>
                <w:i w:val="0"/>
                <w:color w:val="FFFFFF"/>
                <w:sz w:val="17"/>
              </w:rPr>
              <w:t>核心内容 / 决策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2026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品牌、团队、三份标准文件、首个90天试点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验证产品和治理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2027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深港/松山湖协同、3—5个标准中心候选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验证多点复制</w:t>
            </w:r>
          </w:p>
        </w:tc>
      </w:tr>
      <w:tr>
        <w:trPr>
          <w:cantSplit/>
        </w:trPr>
        <w:tc>
          <w:tcPr>
            <w:tcW w:type="dxa" w:w="135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2028</w:t>
            </w:r>
          </w:p>
        </w:tc>
        <w:tc>
          <w:tcPr>
            <w:tcW w:type="dxa" w:w="310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大学—企业—学校网络与人才库雏形</w:t>
            </w:r>
          </w:p>
        </w:tc>
        <w:tc>
          <w:tcPr>
            <w:tcW w:type="dxa" w:w="5290"/>
            <w:shd w:fill="FFFFFF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验证平台协同</w:t>
            </w:r>
          </w:p>
        </w:tc>
      </w:tr>
      <w:tr>
        <w:trPr>
          <w:cantSplit/>
        </w:trPr>
        <w:tc>
          <w:tcPr>
            <w:tcW w:type="dxa" w:w="135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2029</w:t>
            </w:r>
          </w:p>
        </w:tc>
        <w:tc>
          <w:tcPr>
            <w:tcW w:type="dxa" w:w="310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大湾区复制与亚太青年项目探索</w:t>
            </w:r>
          </w:p>
        </w:tc>
        <w:tc>
          <w:tcPr>
            <w:tcW w:type="dxa" w:w="5290"/>
            <w:shd w:fill="F4F1EA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7"/>
              </w:rPr>
              <w:t>验证跨区域标准</w:t>
            </w:r>
          </w:p>
        </w:tc>
      </w:tr>
    </w:tbl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19  /  RISKS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六类核心经营风险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高格局必须建立在高可信之上。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合作真实性：拟合作与已签约严格分层。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儿童保护与数据：授权、最少必要、访问控制、事件响应。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广告与升学：不保录、不造神、不滥用名校和政府背书。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品牌与知识产权：商标、冠名、课程、学生成果与企业课题分别确权。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教育与健康边界：AI辅助、教师负责、持证机构转介。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扩张质量：先标准和证据，再发展授权与复制。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管理机制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每项风险建立责任人、触发条件、预防措施、应急流程、披露与复盘。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p>
      <w:r>
        <w:br w:type="page"/>
      </w:r>
    </w:p>
    <w:p>
      <w:pPr>
        <w:keepLines w:val="0"/>
        <w:spacing w:before="0" w:after="120" w:line="324" w:lineRule="auto"/>
        <w:jc w:val="left"/>
      </w:pPr>
      <w:r>
        <w:rPr>
          <w:rFonts w:ascii="Noto Sans SC" w:hAnsi="Noto Sans SC" w:eastAsia="Noto Sans SC"/>
          <w:b/>
          <w:i w:val="0"/>
          <w:color w:val="FF4B3E"/>
          <w:sz w:val="16"/>
        </w:rPr>
        <w:t>20  /  NEXT DECISIONS</w:t>
      </w:r>
    </w:p>
    <w:p>
      <w:pPr>
        <w:pStyle w:val="Heading1"/>
        <w:keepLines/>
        <w:spacing w:before="0" w:after="200" w:line="324" w:lineRule="auto"/>
        <w:jc w:val="left"/>
      </w:pPr>
      <w:r>
        <w:rPr>
          <w:rFonts w:ascii="Noto Sans SC" w:hAnsi="Noto Sans SC" w:eastAsia="Noto Sans SC"/>
          <w:b/>
          <w:i w:val="0"/>
          <w:color w:val="0B0B0D"/>
          <w:sz w:val="44"/>
        </w:rPr>
        <w:t>管理层需要输入的八项数据</w:t>
      </w:r>
    </w:p>
    <w:p>
      <w:pPr>
        <w:keepLines w:val="0"/>
        <w:spacing w:before="0" w:after="280" w:line="324" w:lineRule="auto"/>
        <w:jc w:val="left"/>
      </w:pPr>
      <w:r>
        <w:rPr>
          <w:rFonts w:ascii="Noto Sans SC" w:hAnsi="Noto Sans SC" w:eastAsia="Noto Sans SC"/>
          <w:b/>
          <w:i w:val="0"/>
          <w:color w:val="4B4B4F"/>
          <w:sz w:val="22"/>
        </w:rPr>
        <w:t>完成以下输入后，商业计划即可升级为含预算、月度现金流和三年经营目标的签约/融资版。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1100"/>
        <w:gridCol w:w="8640"/>
      </w:tblGrid>
      <w:tr>
        <w:trPr>
          <w:cantSplit/>
        </w:trPr>
        <w:tc>
          <w:tcPr>
            <w:tcW w:type="dxa" w:w="1100"/>
            <w:tcMar>
              <w:top w:w="110" w:type="dxa"/>
              <w:start w:w="140" w:type="dxa"/>
              <w:bottom w:w="110" w:type="dxa"/>
              <w:end w:w="140" w:type="dxa"/>
            </w:tcMar>
            <w:shd w:fill="FF4B3E"/>
          </w:tcPr>
          <w:p>
            <w:pPr>
              <w:spacing w:after="0"/>
            </w:pPr>
          </w:p>
        </w:tc>
        <w:tc>
          <w:tcPr>
            <w:tcW w:type="dxa" w:w="8640"/>
            <w:tcMar>
              <w:top w:w="110" w:type="dxa"/>
              <w:start w:w="140" w:type="dxa"/>
              <w:bottom w:w="110" w:type="dxa"/>
              <w:end w:w="140" w:type="dxa"/>
            </w:tcMar>
            <w:shd w:fill="D6D3CC"/>
          </w:tcPr>
          <w:p>
            <w:pPr>
              <w:spacing w:after="0"/>
            </w:pPr>
          </w:p>
        </w:tc>
      </w:tr>
    </w:tbl>
    <w:p>
      <w:pPr>
        <w:keepLines w:val="0"/>
        <w:spacing w:before="0" w:after="8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首个试点区域、场地与签约主体。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四类项目的标准服务范围与报价假设。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核心团队岗位、用工方式与月度成本。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导师、场地、设备、保险、交通和材料询价。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渠道奖励、项目分成与回款周期。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公益奖助比例和资金隔离机制。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技术平台一期范围与预算。</w:t>
      </w:r>
    </w:p>
    <w:p>
      <w:pPr>
        <w:pStyle w:val="ListBullet"/>
        <w:spacing w:after="80" w:line="300" w:lineRule="auto"/>
        <w:ind w:left="369" w:hanging="198"/>
      </w:pPr>
      <w:r>
        <w:rPr>
          <w:rFonts w:ascii="Noto Sans SC" w:hAnsi="Noto Sans SC" w:eastAsia="Noto Sans SC"/>
          <w:b w:val="0"/>
          <w:i w:val="0"/>
          <w:color w:val="0B0B0D"/>
          <w:sz w:val="20"/>
        </w:rPr>
        <w:t>未来12个月项目管线和签约概率。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9740"/>
      </w:tblGrid>
      <w:tr>
        <w:trPr>
          <w:cantSplit/>
        </w:trPr>
        <w:tc>
          <w:tcPr>
            <w:tcW w:type="dxa" w:w="9740"/>
            <w:tcMar>
              <w:top w:w="110" w:type="dxa"/>
              <w:start w:w="140" w:type="dxa"/>
              <w:bottom w:w="110" w:type="dxa"/>
              <w:end w:w="140" w:type="dxa"/>
            </w:tcMar>
            <w:shd w:fill="F4F1EA"/>
            <w:vAlign w:val="center"/>
          </w:tcPr>
          <w:p>
            <w:r>
              <w:rPr>
                <w:rFonts w:ascii="Noto Sans SC" w:hAnsi="Noto Sans SC" w:eastAsia="Noto Sans SC"/>
                <w:b/>
                <w:i w:val="0"/>
                <w:color w:val="FF4B3E"/>
                <w:sz w:val="22"/>
              </w:rPr>
              <w:t>当前建议</w:t>
            </w:r>
          </w:p>
          <w:p>
            <w:pPr>
              <w:spacing w:after="0"/>
            </w:pPr>
            <w:r>
              <w:rPr>
                <w:rFonts w:ascii="Noto Sans SC" w:hAnsi="Noto Sans SC" w:eastAsia="Noto Sans SC"/>
                <w:b w:val="0"/>
                <w:i w:val="0"/>
                <w:color w:val="0B0B0D"/>
                <w:sz w:val="18"/>
              </w:rPr>
              <w:t>先形成一个90天真实项目的完整单位经济模型，再推演区域中心和平台规模。</w:t>
            </w:r>
          </w:p>
        </w:tc>
      </w:tr>
    </w:tbl>
    <w:p>
      <w:pPr>
        <w:keepLines w:val="0"/>
        <w:spacing w:before="0" w:after="0" w:line="324" w:lineRule="auto"/>
        <w:jc w:val="left"/>
      </w:pPr>
      <w:r>
        <w:rPr>
          <w:rFonts w:ascii="Noto Sans SC" w:hAnsi="Noto Sans SC" w:eastAsia="Noto Sans SC"/>
          <w:b w:val="0"/>
          <w:i w:val="0"/>
          <w:color w:val="0B0B0D"/>
          <w:sz w:val="21"/>
        </w:rPr>
      </w:r>
    </w:p>
    <w:p>
      <w:pPr>
        <w:keepLines w:val="0"/>
        <w:spacing w:before="160" w:after="140" w:line="324" w:lineRule="auto"/>
        <w:jc w:val="left"/>
      </w:pPr>
      <w:r>
        <w:rPr>
          <w:rFonts w:ascii="Noto Sans SC" w:hAnsi="Noto Sans SC" w:eastAsia="Noto Sans SC"/>
          <w:b w:val="0"/>
          <w:i/>
          <w:color w:val="4B4B4F"/>
          <w:sz w:val="15"/>
        </w:rPr>
        <w:t>状态说明：本页为V1.2沟通方案；涉及机构、人物、案例、价格、预算、签约与官方关联，以书面授权和正式文件为准。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907" w:left="1077" w:header="425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left"/>
    </w:pPr>
    <w:r>
      <w:rPr>
        <w:rFonts w:ascii="Noto Sans SC" w:hAnsi="Noto Sans SC" w:eastAsia="Noto Sans SC"/>
        <w:b w:val="0"/>
        <w:i w:val="0"/>
        <w:color w:val="4B4B4F"/>
        <w:sz w:val="16"/>
      </w:rPr>
      <w:t>博格港湾青少年智能科技成长中心｜商业计划书  ·  V1.2  ·  hskb.com</w:t>
    </w:r>
    <w:r>
      <w:rPr>
        <w:rFonts w:ascii="Noto Sans SC" w:hAnsi="Noto Sans SC" w:eastAsia="Noto Sans SC"/>
        <w:b w:val="0"/>
        <w:i w:val="0"/>
        <w:color w:val="0B0B0D"/>
        <w:sz w:val="16"/>
      </w:rPr>
      <w:t xml:space="preserve">                                                        </w:t>
    </w:r>
    <w:r>
      <w:rPr>
        <w:rFonts w:ascii="Noto Sans SC" w:hAnsi="Noto Sans SC" w:eastAsia="Noto Sans SC"/>
        <w:b w:val="0"/>
        <w:i w:val="0"/>
        <w:color w:val="4B4B4F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Noto Sans SC" w:hAnsi="Noto Sans SC" w:eastAsia="Noto Sans SC"/>
        <w:b/>
        <w:i w:val="0"/>
        <w:color w:val="FF4B3E"/>
        <w:sz w:val="16"/>
      </w:rPr>
      <w:t>HSKB  ·  HARBOR STEM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line="324" w:lineRule="auto" w:after="140"/>
    </w:pPr>
    <w:rPr>
      <w:rFonts w:ascii="Noto Sans SC" w:hAnsi="Noto Sans SC" w:eastAsia="Noto Sans SC"/>
      <w:color w:val="0B0B0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Noto Sans SC" w:hAnsi="Noto Sans SC" w:eastAsia="Noto Sans SC"/>
      <w:b/>
      <w:bCs/>
      <w:color w:val="0B0B0D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Noto Sans SC" w:hAnsi="Noto Sans SC" w:eastAsia="Noto Sans SC"/>
      <w:b/>
      <w:bCs/>
      <w:color w:val="0B0B0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Noto Sans SC" w:hAnsi="Noto Sans SC" w:eastAsia="Noto Sans SC"/>
      <w:b/>
      <w:bCs/>
      <w:color w:val="FF4B3E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博格港湾青少年智能科技成长中心｜商业计划书</dc:title>
  <dc:subject>城市级青少年AI与科技成长平台的产品、经营、治理与扩张模型</dc:subject>
  <dc:creator>博格港湾 HSKB</dc:creator>
  <cp:keywords/>
  <dc:description>V1.2 对外沟通初版；合作、人物、预算及签约内容以正式书面文件为准。</dc:description>
  <cp:lastModifiedBy>博格港湾 HSKB</cp:lastModifiedBy>
  <cp:revision>1</cp:revision>
  <dcterms:created xsi:type="dcterms:W3CDTF">2013-12-23T23:15:00Z</dcterms:created>
  <dcterms:modified xsi:type="dcterms:W3CDTF">2013-12-23T23:15:00Z</dcterms:modified>
  <cp:category/>
</cp:coreProperties>
</file>