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drawing>
          <wp:inline xmlns:a="http://schemas.openxmlformats.org/drawingml/2006/main" xmlns:pic="http://schemas.openxmlformats.org/drawingml/2006/picture">
            <wp:extent cx="2052000" cy="468540"/>
            <wp:docPr id="1" name="Picture 1" descr="博格港湾 Harbor Stem 品牌标志"/>
            <wp:cNvGraphicFramePr>
              <a:graphicFrameLocks noChangeAspect="1"/>
            </wp:cNvGraphicFramePr>
            <a:graphic>
              <a:graphicData uri="http://schemas.openxmlformats.org/drawingml/2006/picture">
                <pic:pic>
                  <pic:nvPicPr>
                    <pic:cNvPr id="0" name="hskb-v13-primary.png"/>
                    <pic:cNvPicPr/>
                  </pic:nvPicPr>
                  <pic:blipFill>
                    <a:blip r:embed="rId11"/>
                    <a:stretch>
                      <a:fillRect/>
                    </a:stretch>
                  </pic:blipFill>
                  <pic:spPr>
                    <a:xfrm>
                      <a:off x="0" y="0"/>
                      <a:ext cx="2052000" cy="468540"/>
                    </a:xfrm>
                    <a:prstGeom prst="rect"/>
                  </pic:spPr>
                </pic:pic>
              </a:graphicData>
            </a:graphic>
          </wp:inline>
        </w:drawing>
      </w:r>
    </w:p>
    <w:p>
      <w:pPr>
        <w:spacing w:after="360"/>
      </w:pPr>
    </w:p>
    <w:p>
      <w:pPr>
        <w:spacing w:before="0" w:after="100"/>
      </w:pPr>
      <w:r>
        <w:rPr>
          <w:rFonts w:ascii="Noto Sans SC" w:hAnsi="Noto Sans SC" w:eastAsia="Noto Sans SC"/>
          <w:b/>
          <w:i w:val="0"/>
          <w:color w:val="FF4B3E"/>
          <w:sz w:val="17"/>
        </w:rPr>
        <w:t>HSKB · SHENZHEN · GREATER BAY AREA · THE WORLD</w:t>
      </w:r>
    </w:p>
    <w:p>
      <w:pPr>
        <w:spacing w:after="280"/>
      </w:pPr>
      <w:r>
        <w:rPr>
          <w:rFonts w:ascii="Noto Sans SC" w:hAnsi="Noto Sans SC" w:eastAsia="Noto Sans SC"/>
          <w:b/>
          <w:i w:val="0"/>
          <w:color w:val="0B0B0D"/>
          <w:sz w:val="56"/>
        </w:rPr>
        <w:t>博格港湾青少年智能科技成长中心｜项目介绍书</w:t>
      </w:r>
    </w:p>
    <w:p>
      <w:pPr>
        <w:spacing w:after="360"/>
      </w:pPr>
      <w:r>
        <w:rPr>
          <w:rFonts w:ascii="Noto Sans SC" w:hAnsi="Noto Sans SC" w:eastAsia="Noto Sans SC"/>
          <w:b/>
          <w:i w:val="0"/>
          <w:color w:val="4B4B4F"/>
          <w:sz w:val="28"/>
        </w:rPr>
        <w:t>深圳出发 · 湾区协同 · 面向世界的青少年 AI 与科技成长平台</w:t>
      </w:r>
    </w:p>
    <w:tbl>
      <w:tblPr>
        <w:tblW w:type="dxa" w:w="9520"/>
        <w:jc w:val="center"/>
        <w:tblLook w:firstColumn="1" w:firstRow="1" w:lastColumn="0" w:lastRow="0" w:noHBand="0" w:noVBand="1" w:val="04A0"/>
        <w:tblLayout w:type="fixed"/>
        <w:tblInd w:w="0" w:type="dxa"/>
      </w:tblPr>
      <w:tblGrid>
        <w:gridCol w:w="6480"/>
        <w:gridCol w:w="3040"/>
      </w:tblGrid>
      <w:tr>
        <w:tc>
          <w:tcPr>
            <w:tcW w:type="dxa" w:w="6480"/>
            <w:tcMar>
              <w:top w:w="100" w:type="dxa"/>
              <w:start w:w="140" w:type="dxa"/>
              <w:bottom w:w="100" w:type="dxa"/>
              <w:end w:w="140" w:type="dxa"/>
            </w:tcMar>
            <w:shd w:fill="0B0B0D"/>
          </w:tcPr>
          <w:p>
            <w:r>
              <w:rPr>
                <w:rFonts w:ascii="Noto Sans SC" w:hAnsi="Noto Sans SC" w:eastAsia="Noto Sans SC"/>
                <w:b/>
                <w:i w:val="0"/>
                <w:color w:val="FFFFFF"/>
                <w:sz w:val="34"/>
              </w:rPr>
              <w:t>给好奇心一座港湾，</w:t>
              <w:br/>
              <w:t>让创造力驶向未来。</w:t>
            </w:r>
          </w:p>
        </w:tc>
        <w:tc>
          <w:tcPr>
            <w:tcW w:type="dxa" w:w="3040"/>
            <w:tcMar>
              <w:top w:w="100" w:type="dxa"/>
              <w:start w:w="140" w:type="dxa"/>
              <w:bottom w:w="100" w:type="dxa"/>
              <w:end w:w="140" w:type="dxa"/>
            </w:tcMar>
            <w:shd w:fill="FF4B3E"/>
          </w:tcPr>
          <w:p>
            <w:r>
              <w:rPr>
                <w:rFonts w:ascii="Noto Sans SC" w:hAnsi="Noto Sans SC" w:eastAsia="Noto Sans SC"/>
                <w:b/>
                <w:i w:val="0"/>
                <w:color w:val="0B0B0D"/>
                <w:sz w:val="24"/>
              </w:rPr>
              <w:t>V1.2</w:t>
              <w:br/>
              <w:t>2026.08</w:t>
              <w:br/>
              <w:br/>
              <w:t>对外沟通版</w:t>
            </w:r>
          </w:p>
        </w:tc>
      </w:tr>
    </w:tbl>
    <w:p>
      <w:pPr>
        <w:spacing w:after="100"/>
      </w:pP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面向政府、协会、学校、大学、科技企业、基金与公益机构</w:t>
            </w:r>
          </w:p>
          <w:p>
            <w:pPr>
              <w:spacing w:after="0" w:line="288" w:lineRule="auto"/>
            </w:pPr>
            <w:r>
              <w:rPr>
                <w:rFonts w:ascii="Noto Sans SC" w:hAnsi="Noto Sans SC" w:eastAsia="Noto Sans SC"/>
                <w:b w:val="0"/>
                <w:i w:val="0"/>
                <w:color w:val="4B4B4F"/>
                <w:sz w:val="19"/>
              </w:rPr>
              <w:t>本文件已按 HSKB V13 统一重制；具体合作、人物、媒体、预算、案例与签约信息以正式授权及书面文件为准。</w:t>
            </w:r>
          </w:p>
        </w:tc>
      </w:tr>
    </w:tbl>
    <w:p>
      <w:pPr>
        <w:spacing w:after="0"/>
      </w:pPr>
    </w:p>
    <w:p>
      <w:r>
        <w:br w:type="page"/>
      </w:r>
    </w:p>
    <w:p>
      <w:pPr>
        <w:spacing w:before="0" w:after="100"/>
      </w:pPr>
      <w:r>
        <w:rPr>
          <w:rFonts w:ascii="Noto Sans SC" w:hAnsi="Noto Sans SC" w:eastAsia="Noto Sans SC"/>
          <w:b/>
          <w:i w:val="0"/>
          <w:color w:val="FF4B3E"/>
          <w:sz w:val="17"/>
        </w:rPr>
        <w:t>02 / 使用说明</w:t>
      </w:r>
    </w:p>
    <w:p>
      <w:pPr>
        <w:pStyle w:val="Heading1"/>
        <w:keepNext/>
        <w:spacing w:before="0" w:after="200"/>
      </w:pPr>
      <w:r>
        <w:rPr>
          <w:rFonts w:ascii="Noto Sans SC" w:hAnsi="Noto Sans SC" w:eastAsia="Noto Sans SC"/>
          <w:b/>
          <w:i w:val="0"/>
          <w:color w:val="0B0B0D"/>
          <w:sz w:val="44"/>
        </w:rPr>
        <w:t>一份可以对外沟通、仍保持事实边界的完整初版</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本文件用于与政府、协会、高校、中小学、科技企业、基金和公益机构进行首轮沟通。项目的文化、产品和运营逻辑已形成完整框架；合作单位、顾问、媒体、人物资料、真实案例、统计数据和中心地址将在书面授权与签约完成后替换。</w:t>
      </w:r>
    </w:p>
    <w:p>
      <w:pPr>
        <w:pStyle w:val="ListBullet"/>
        <w:spacing w:after="80" w:line="290" w:lineRule="auto"/>
        <w:ind w:left="540" w:hanging="279"/>
      </w:pPr>
      <w:r>
        <w:rPr>
          <w:rFonts w:ascii="Noto Sans SC" w:hAnsi="Noto Sans SC" w:eastAsia="Noto Sans SC"/>
          <w:b w:val="0"/>
          <w:i w:val="0"/>
          <w:color w:val="0B0B0D"/>
          <w:sz w:val="21"/>
        </w:rPr>
        <w:t>所有“拟联合发起、拟邀、拟支持”不得解释为正式主办或背书。</w:t>
      </w:r>
    </w:p>
    <w:p>
      <w:pPr>
        <w:pStyle w:val="ListBullet"/>
        <w:spacing w:after="80" w:line="290" w:lineRule="auto"/>
        <w:ind w:left="540" w:hanging="279"/>
      </w:pPr>
      <w:r>
        <w:rPr>
          <w:rFonts w:ascii="Noto Sans SC" w:hAnsi="Noto Sans SC" w:eastAsia="Noto Sans SC"/>
          <w:b w:val="0"/>
          <w:i w:val="0"/>
          <w:color w:val="0B0B0D"/>
          <w:sz w:val="21"/>
        </w:rPr>
        <w:t>AI 生成图片只用于概念展示，必须保留非真实现场说明。</w:t>
      </w:r>
    </w:p>
    <w:p>
      <w:pPr>
        <w:pStyle w:val="ListBullet"/>
        <w:spacing w:after="80" w:line="290" w:lineRule="auto"/>
        <w:ind w:left="540" w:hanging="279"/>
      </w:pPr>
      <w:r>
        <w:rPr>
          <w:rFonts w:ascii="Noto Sans SC" w:hAnsi="Noto Sans SC" w:eastAsia="Noto Sans SC"/>
          <w:b w:val="0"/>
          <w:i w:val="0"/>
          <w:color w:val="0B0B0D"/>
          <w:sz w:val="21"/>
        </w:rPr>
        <w:t>未成年人资料、合同、证照和内部经营数据不进入公开材料。</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发布前总原则</w:t>
            </w:r>
          </w:p>
          <w:p>
            <w:pPr>
              <w:spacing w:after="0" w:line="288" w:lineRule="auto"/>
            </w:pPr>
            <w:r>
              <w:rPr>
                <w:rFonts w:ascii="Noto Sans SC" w:hAnsi="Noto Sans SC" w:eastAsia="Noto Sans SC"/>
                <w:b w:val="0"/>
                <w:i w:val="0"/>
                <w:color w:val="4B4B4F"/>
                <w:sz w:val="19"/>
              </w:rPr>
              <w:t>高格局必须建立在高可信之上：可以先发布理念，不能先发布未经授权的背书。</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03 / 执行摘要</w:t>
      </w:r>
    </w:p>
    <w:p>
      <w:pPr>
        <w:pStyle w:val="Heading1"/>
        <w:keepNext/>
        <w:spacing w:before="0" w:after="200"/>
      </w:pPr>
      <w:r>
        <w:rPr>
          <w:rFonts w:ascii="Noto Sans SC" w:hAnsi="Noto Sans SC" w:eastAsia="Noto Sans SC"/>
          <w:b/>
          <w:i w:val="0"/>
          <w:color w:val="0B0B0D"/>
          <w:sz w:val="44"/>
        </w:rPr>
        <w:t>建设一座城市级青少年智能科技成长基础设施</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博格港湾青少年智能科技成长中心不是课程的简单拼接，也不以单一竞赛或升学为终点。平台通过六大成长系统、动态成长档案、五类导师和真实城市场景，把学习支持、科创实践、天赋发现、身心健康、城市研学与未来衔接连接成长期闭环。</w:t>
      </w:r>
    </w:p>
    <w:p>
      <w:pPr>
        <w:pStyle w:val="ListBullet"/>
        <w:spacing w:after="80" w:line="290" w:lineRule="auto"/>
        <w:ind w:left="540" w:hanging="279"/>
      </w:pPr>
      <w:r>
        <w:rPr>
          <w:rFonts w:ascii="Noto Sans SC" w:hAnsi="Noto Sans SC" w:eastAsia="Noto Sans SC"/>
          <w:b w:val="0"/>
          <w:i w:val="0"/>
          <w:color w:val="0B0B0D"/>
          <w:sz w:val="21"/>
        </w:rPr>
        <w:t>服务以九年义务教育阶段为主，兼顾高中、大学、企业与家庭。</w:t>
      </w:r>
    </w:p>
    <w:p>
      <w:pPr>
        <w:pStyle w:val="ListBullet"/>
        <w:spacing w:after="80" w:line="290" w:lineRule="auto"/>
        <w:ind w:left="540" w:hanging="279"/>
      </w:pPr>
      <w:r>
        <w:rPr>
          <w:rFonts w:ascii="Noto Sans SC" w:hAnsi="Noto Sans SC" w:eastAsia="Noto Sans SC"/>
          <w:b w:val="0"/>
          <w:i w:val="0"/>
          <w:color w:val="0B0B0D"/>
          <w:sz w:val="21"/>
        </w:rPr>
        <w:t>政府与协会优先，高校、中小学和科技企业构成第二层共建网络。</w:t>
      </w:r>
    </w:p>
    <w:p>
      <w:pPr>
        <w:pStyle w:val="ListBullet"/>
        <w:spacing w:after="80" w:line="290" w:lineRule="auto"/>
        <w:ind w:left="540" w:hanging="279"/>
      </w:pPr>
      <w:r>
        <w:rPr>
          <w:rFonts w:ascii="Noto Sans SC" w:hAnsi="Noto Sans SC" w:eastAsia="Noto Sans SC"/>
          <w:b w:val="0"/>
          <w:i w:val="0"/>
          <w:color w:val="0B0B0D"/>
          <w:sz w:val="21"/>
        </w:rPr>
        <w:t>学校、学生与家庭、政府与协会、科技企业均有独立落地路径。</w:t>
      </w:r>
    </w:p>
    <w:p>
      <w:pPr>
        <w:pStyle w:val="ListBullet"/>
        <w:spacing w:after="80" w:line="290" w:lineRule="auto"/>
        <w:ind w:left="540" w:hanging="279"/>
      </w:pPr>
      <w:r>
        <w:rPr>
          <w:rFonts w:ascii="Noto Sans SC" w:hAnsi="Noto Sans SC" w:eastAsia="Noto Sans SC"/>
          <w:b w:val="0"/>
          <w:i w:val="0"/>
          <w:color w:val="0B0B0D"/>
          <w:sz w:val="21"/>
        </w:rPr>
        <w:t>30 天完成准备、90 天验证试点、一个学年完成成效评估与标准沉淀。</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核心行动</w:t>
            </w:r>
          </w:p>
          <w:p>
            <w:pPr>
              <w:spacing w:after="0" w:line="288" w:lineRule="auto"/>
            </w:pPr>
            <w:r>
              <w:rPr>
                <w:rFonts w:ascii="Noto Sans SC" w:hAnsi="Noto Sans SC" w:eastAsia="Noto Sans SC"/>
                <w:b w:val="0"/>
                <w:i w:val="0"/>
                <w:color w:val="4B4B4F"/>
                <w:sz w:val="19"/>
              </w:rPr>
              <w:t>申请启动 90 天试点：先把对象、问题、责任、资源与风险边界定义清楚，再进入学生服务。</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04 / 时代背景</w:t>
      </w:r>
    </w:p>
    <w:p>
      <w:pPr>
        <w:pStyle w:val="Heading1"/>
        <w:keepNext/>
        <w:spacing w:before="0" w:after="200"/>
      </w:pPr>
      <w:r>
        <w:rPr>
          <w:rFonts w:ascii="Noto Sans SC" w:hAnsi="Noto Sans SC" w:eastAsia="Noto Sans SC"/>
          <w:b/>
          <w:i w:val="0"/>
          <w:color w:val="0B0B0D"/>
          <w:sz w:val="44"/>
        </w:rPr>
        <w:t>教育、科技、人才正在形成新的战略交汇点</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人工智能正在进入学习、教学、管理和评价，但技术只有在教师负责、儿童保护、数据合规与人文关怀的框架下才可能产生长期价值。同时，中小学科学教育更加重视真实问题、跨学科、项目制、社会课堂和校外资源协同。</w:t>
      </w:r>
    </w:p>
    <w:p>
      <w:pPr>
        <w:pStyle w:val="ListBullet"/>
        <w:spacing w:after="80" w:line="290" w:lineRule="auto"/>
        <w:ind w:left="540" w:hanging="279"/>
      </w:pPr>
      <w:r>
        <w:rPr>
          <w:rFonts w:ascii="Noto Sans SC" w:hAnsi="Noto Sans SC" w:eastAsia="Noto Sans SC"/>
          <w:b w:val="0"/>
          <w:i w:val="0"/>
          <w:color w:val="0B0B0D"/>
          <w:sz w:val="21"/>
        </w:rPr>
        <w:t>AI 使个性化反馈的成本下降，但不能替代教师与专业判断。</w:t>
      </w:r>
    </w:p>
    <w:p>
      <w:pPr>
        <w:pStyle w:val="ListBullet"/>
        <w:spacing w:after="80" w:line="290" w:lineRule="auto"/>
        <w:ind w:left="540" w:hanging="279"/>
      </w:pPr>
      <w:r>
        <w:rPr>
          <w:rFonts w:ascii="Noto Sans SC" w:hAnsi="Noto Sans SC" w:eastAsia="Noto Sans SC"/>
          <w:b w:val="0"/>
          <w:i w:val="0"/>
          <w:color w:val="0B0B0D"/>
          <w:sz w:val="21"/>
        </w:rPr>
        <w:t>项目制学习将知识、工程、人文与社会责任组织在同一个任务中。</w:t>
      </w:r>
    </w:p>
    <w:p>
      <w:pPr>
        <w:pStyle w:val="ListBullet"/>
        <w:spacing w:after="80" w:line="290" w:lineRule="auto"/>
        <w:ind w:left="540" w:hanging="279"/>
      </w:pPr>
      <w:r>
        <w:rPr>
          <w:rFonts w:ascii="Noto Sans SC" w:hAnsi="Noto Sans SC" w:eastAsia="Noto Sans SC"/>
          <w:b w:val="0"/>
          <w:i w:val="0"/>
          <w:color w:val="0B0B0D"/>
          <w:sz w:val="21"/>
        </w:rPr>
        <w:t>大学、企业、科技馆和城市公共空间正在成为新的教育资源。</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政策一致性</w:t>
            </w:r>
          </w:p>
          <w:p>
            <w:pPr>
              <w:spacing w:after="0" w:line="288" w:lineRule="auto"/>
            </w:pPr>
            <w:r>
              <w:rPr>
                <w:rFonts w:ascii="Noto Sans SC" w:hAnsi="Noto Sans SC" w:eastAsia="Noto Sans SC"/>
                <w:b w:val="0"/>
                <w:i w:val="0"/>
                <w:color w:val="4B4B4F"/>
                <w:sz w:val="19"/>
              </w:rPr>
              <w:t>平台回应场景化教育、跨学科项目、AI 落地、科学教育社会课堂和学生身心健康等重点方向。</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05 / APEC 深圳 2026</w:t>
      </w:r>
    </w:p>
    <w:p>
      <w:pPr>
        <w:pStyle w:val="Heading1"/>
        <w:keepNext/>
        <w:spacing w:before="0" w:after="200"/>
      </w:pPr>
      <w:r>
        <w:rPr>
          <w:rFonts w:ascii="Noto Sans SC" w:hAnsi="Noto Sans SC" w:eastAsia="Noto Sans SC"/>
          <w:b/>
          <w:i w:val="0"/>
          <w:color w:val="0B0B0D"/>
          <w:sz w:val="44"/>
        </w:rPr>
        <w:t>在亚太创新合作叙事中建设青年科技成长平台</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APEC 官方已公布 2026 年中国主办安排，深圳承载领导人周相关活动，主题强调共同繁荣，优先领域包括开放、创新与合作。成长中心可围绕 AI 素养、青年创新、城市可持续和湾区协同策划教育项目，但任何官方关联、会标或活动名称必须经过主管部门授权。</w:t>
      </w:r>
    </w:p>
    <w:p>
      <w:pPr>
        <w:pStyle w:val="ListBullet"/>
        <w:spacing w:after="80" w:line="290" w:lineRule="auto"/>
        <w:ind w:left="540" w:hanging="279"/>
      </w:pPr>
      <w:r>
        <w:rPr>
          <w:rFonts w:ascii="Noto Sans SC" w:hAnsi="Noto Sans SC" w:eastAsia="Noto Sans SC"/>
          <w:b w:val="0"/>
          <w:i w:val="0"/>
          <w:color w:val="0B0B0D"/>
          <w:sz w:val="21"/>
        </w:rPr>
        <w:t>开放：形成深港及亚太青年交流路线。</w:t>
      </w:r>
    </w:p>
    <w:p>
      <w:pPr>
        <w:pStyle w:val="ListBullet"/>
        <w:spacing w:after="80" w:line="290" w:lineRule="auto"/>
        <w:ind w:left="540" w:hanging="279"/>
      </w:pPr>
      <w:r>
        <w:rPr>
          <w:rFonts w:ascii="Noto Sans SC" w:hAnsi="Noto Sans SC" w:eastAsia="Noto Sans SC"/>
          <w:b w:val="0"/>
          <w:i w:val="0"/>
          <w:color w:val="0B0B0D"/>
          <w:sz w:val="21"/>
        </w:rPr>
        <w:t>创新：面向真实城市问题开展 AI 与科技项目。</w:t>
      </w:r>
    </w:p>
    <w:p>
      <w:pPr>
        <w:pStyle w:val="ListBullet"/>
        <w:spacing w:after="80" w:line="290" w:lineRule="auto"/>
        <w:ind w:left="540" w:hanging="279"/>
      </w:pPr>
      <w:r>
        <w:rPr>
          <w:rFonts w:ascii="Noto Sans SC" w:hAnsi="Noto Sans SC" w:eastAsia="Noto Sans SC"/>
          <w:b w:val="0"/>
          <w:i w:val="0"/>
          <w:color w:val="0B0B0D"/>
          <w:sz w:val="21"/>
        </w:rPr>
        <w:t>合作：政府、学校、大学、企业和公益共同参与。</w:t>
      </w:r>
    </w:p>
    <w:p>
      <w:pPr>
        <w:pStyle w:val="ListBullet"/>
        <w:spacing w:after="80" w:line="290" w:lineRule="auto"/>
        <w:ind w:left="540" w:hanging="279"/>
      </w:pPr>
      <w:r>
        <w:rPr>
          <w:rFonts w:ascii="Noto Sans SC" w:hAnsi="Noto Sans SC" w:eastAsia="Noto Sans SC"/>
          <w:b w:val="0"/>
          <w:i w:val="0"/>
          <w:color w:val="0B0B0D"/>
          <w:sz w:val="21"/>
        </w:rPr>
        <w:t>成果：以青年创新成果周、城市展览和年度报告对外呈现。</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官方来源</w:t>
            </w:r>
          </w:p>
          <w:p>
            <w:pPr>
              <w:spacing w:after="0" w:line="288" w:lineRule="auto"/>
            </w:pPr>
            <w:r>
              <w:rPr>
                <w:rFonts w:ascii="Noto Sans SC" w:hAnsi="Noto Sans SC" w:eastAsia="Noto Sans SC"/>
                <w:b w:val="0"/>
                <w:i w:val="0"/>
                <w:color w:val="4B4B4F"/>
                <w:sz w:val="19"/>
              </w:rPr>
              <w:t>APEC 官方网站、深圳市政府 APEC 2026 专题及相关公开政策文件。</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06 / 使命与愿景</w:t>
      </w:r>
    </w:p>
    <w:p>
      <w:pPr>
        <w:pStyle w:val="Heading1"/>
        <w:keepNext/>
        <w:spacing w:before="0" w:after="200"/>
      </w:pPr>
      <w:r>
        <w:rPr>
          <w:rFonts w:ascii="Noto Sans SC" w:hAnsi="Noto Sans SC" w:eastAsia="Noto Sans SC"/>
          <w:b/>
          <w:i w:val="0"/>
          <w:color w:val="0B0B0D"/>
          <w:sz w:val="44"/>
        </w:rPr>
        <w:t>让每一种天赋被看见、被支持、被点亮</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平台的使命是以博爱关注每一个学生，以格新打开教育支持的新方法；愿景是让深圳成为具有世界影响力的青少年智能科技成长沃土与拔尖创新人才发现平台。</w:t>
      </w:r>
    </w:p>
    <w:p>
      <w:pPr>
        <w:pStyle w:val="ListBullet"/>
        <w:spacing w:after="80" w:line="290" w:lineRule="auto"/>
        <w:ind w:left="540" w:hanging="279"/>
      </w:pPr>
      <w:r>
        <w:rPr>
          <w:rFonts w:ascii="Noto Sans SC" w:hAnsi="Noto Sans SC" w:eastAsia="Noto Sans SC"/>
          <w:b w:val="0"/>
          <w:i w:val="0"/>
          <w:color w:val="0B0B0D"/>
          <w:sz w:val="21"/>
        </w:rPr>
        <w:t>价值主张：在公平教育的底座上，为差异化成长打开更宽的通道。</w:t>
      </w:r>
    </w:p>
    <w:p>
      <w:pPr>
        <w:pStyle w:val="ListBullet"/>
        <w:spacing w:after="80" w:line="290" w:lineRule="auto"/>
        <w:ind w:left="540" w:hanging="279"/>
      </w:pPr>
      <w:r>
        <w:rPr>
          <w:rFonts w:ascii="Noto Sans SC" w:hAnsi="Noto Sans SC" w:eastAsia="Noto Sans SC"/>
          <w:b w:val="0"/>
          <w:i w:val="0"/>
          <w:color w:val="0B0B0D"/>
          <w:sz w:val="21"/>
        </w:rPr>
        <w:t>城市主张：深圳是起点，大湾区是试验场，世界是坐标系。</w:t>
      </w:r>
    </w:p>
    <w:p>
      <w:pPr>
        <w:pStyle w:val="ListBullet"/>
        <w:spacing w:after="80" w:line="290" w:lineRule="auto"/>
        <w:ind w:left="540" w:hanging="279"/>
      </w:pPr>
      <w:r>
        <w:rPr>
          <w:rFonts w:ascii="Noto Sans SC" w:hAnsi="Noto Sans SC" w:eastAsia="Noto Sans SC"/>
          <w:b w:val="0"/>
          <w:i w:val="0"/>
          <w:color w:val="0B0B0D"/>
          <w:sz w:val="21"/>
        </w:rPr>
        <w:t>英文主张：See Every Talent. Open Every Future.</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长期尺度</w:t>
            </w:r>
          </w:p>
          <w:p>
            <w:pPr>
              <w:spacing w:after="0" w:line="288" w:lineRule="auto"/>
            </w:pPr>
            <w:r>
              <w:rPr>
                <w:rFonts w:ascii="Noto Sans SC" w:hAnsi="Noto Sans SC" w:eastAsia="Noto Sans SC"/>
                <w:b w:val="0"/>
                <w:i w:val="0"/>
                <w:color w:val="4B4B4F"/>
                <w:sz w:val="19"/>
              </w:rPr>
              <w:t>用 10—30 年建立人才发现、培养、衔接与回馈城市的代际循环。</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07 / 文化底座</w:t>
      </w:r>
    </w:p>
    <w:p>
      <w:pPr>
        <w:pStyle w:val="Heading1"/>
        <w:keepNext/>
        <w:spacing w:before="0" w:after="200"/>
      </w:pPr>
      <w:r>
        <w:rPr>
          <w:rFonts w:ascii="Noto Sans SC" w:hAnsi="Noto Sans SC" w:eastAsia="Noto Sans SC"/>
          <w:b/>
          <w:i w:val="0"/>
          <w:color w:val="0B0B0D"/>
          <w:sz w:val="44"/>
        </w:rPr>
        <w:t>博、格、港、湾：四个字构成一个完整成长隐喻</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博”代表博爱，关注容易被忽视、暂时落后、学习困难或具有特殊天赋的学生；“格”代表格新与破格创新，让创意形成作品，让潜能获得合适挑战；“港”连接香港与港澳，也象征安全停靠和补给；“湾”代表粤港澳大湾区的城市群、产业群与大学群协同。</w:t>
      </w:r>
    </w:p>
    <w:p>
      <w:pPr>
        <w:pStyle w:val="ListBullet"/>
        <w:spacing w:after="80" w:line="290" w:lineRule="auto"/>
        <w:ind w:left="540" w:hanging="279"/>
      </w:pPr>
      <w:r>
        <w:rPr>
          <w:rFonts w:ascii="Noto Sans SC" w:hAnsi="Noto Sans SC" w:eastAsia="Noto Sans SC"/>
          <w:b w:val="0"/>
          <w:i w:val="0"/>
          <w:color w:val="0B0B0D"/>
          <w:sz w:val="21"/>
        </w:rPr>
        <w:t>博爱不是降低标准，而是为不同起点提供适当支持。</w:t>
      </w:r>
    </w:p>
    <w:p>
      <w:pPr>
        <w:pStyle w:val="ListBullet"/>
        <w:spacing w:after="80" w:line="290" w:lineRule="auto"/>
        <w:ind w:left="540" w:hanging="279"/>
      </w:pPr>
      <w:r>
        <w:rPr>
          <w:rFonts w:ascii="Noto Sans SC" w:hAnsi="Noto Sans SC" w:eastAsia="Noto Sans SC"/>
          <w:b w:val="0"/>
          <w:i w:val="0"/>
          <w:color w:val="0B0B0D"/>
          <w:sz w:val="21"/>
        </w:rPr>
        <w:t>格新不是追逐工具，而是用技术解决真实教育问题。</w:t>
      </w:r>
    </w:p>
    <w:p>
      <w:pPr>
        <w:pStyle w:val="ListBullet"/>
        <w:spacing w:after="80" w:line="290" w:lineRule="auto"/>
        <w:ind w:left="540" w:hanging="279"/>
      </w:pPr>
      <w:r>
        <w:rPr>
          <w:rFonts w:ascii="Noto Sans SC" w:hAnsi="Noto Sans SC" w:eastAsia="Noto Sans SC"/>
          <w:b w:val="0"/>
          <w:i w:val="0"/>
          <w:color w:val="0B0B0D"/>
          <w:sz w:val="21"/>
        </w:rPr>
        <w:t>港湾不是封闭保护，而是为下一次远航积蓄能力。</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品牌精神</w:t>
            </w:r>
          </w:p>
          <w:p>
            <w:pPr>
              <w:spacing w:after="0" w:line="288" w:lineRule="auto"/>
            </w:pPr>
            <w:r>
              <w:rPr>
                <w:rFonts w:ascii="Noto Sans SC" w:hAnsi="Noto Sans SC" w:eastAsia="Noto Sans SC"/>
                <w:b w:val="0"/>
                <w:i w:val="0"/>
                <w:color w:val="4B4B4F"/>
                <w:sz w:val="19"/>
              </w:rPr>
              <w:t>以博爱看见每一种天赋，以格新打开每一种可能。</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08 / 服务对象</w:t>
      </w:r>
    </w:p>
    <w:p>
      <w:pPr>
        <w:pStyle w:val="Heading1"/>
        <w:keepNext/>
        <w:spacing w:before="0" w:after="200"/>
      </w:pPr>
      <w:r>
        <w:rPr>
          <w:rFonts w:ascii="Noto Sans SC" w:hAnsi="Noto Sans SC" w:eastAsia="Noto Sans SC"/>
          <w:b/>
          <w:i w:val="0"/>
          <w:color w:val="0B0B0D"/>
          <w:sz w:val="44"/>
        </w:rPr>
        <w:t>以义务教育阶段为主，为不同成长节奏提供不同入口</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中心不把服务对象限定为传统意义上的高分学生。高潜、特殊天赋、学习困难、科技特长和普通成长学生都可以进入同一平台，但获得不同的挑战、支持与导师配置。</w:t>
      </w:r>
    </w:p>
    <w:p>
      <w:pPr>
        <w:pStyle w:val="ListBullet"/>
        <w:spacing w:after="80" w:line="290" w:lineRule="auto"/>
        <w:ind w:left="540" w:hanging="279"/>
      </w:pPr>
      <w:r>
        <w:rPr>
          <w:rFonts w:ascii="Noto Sans SC" w:hAnsi="Noto Sans SC" w:eastAsia="Noto Sans SC"/>
          <w:b w:val="0"/>
          <w:i w:val="0"/>
          <w:color w:val="0B0B0D"/>
          <w:sz w:val="21"/>
        </w:rPr>
        <w:t>高潜学生：需要更深、更开放的课程与项目。</w:t>
      </w:r>
    </w:p>
    <w:p>
      <w:pPr>
        <w:pStyle w:val="ListBullet"/>
        <w:spacing w:after="80" w:line="290" w:lineRule="auto"/>
        <w:ind w:left="540" w:hanging="279"/>
      </w:pPr>
      <w:r>
        <w:rPr>
          <w:rFonts w:ascii="Noto Sans SC" w:hAnsi="Noto Sans SC" w:eastAsia="Noto Sans SC"/>
          <w:b w:val="0"/>
          <w:i w:val="0"/>
          <w:color w:val="0B0B0D"/>
          <w:sz w:val="21"/>
        </w:rPr>
        <w:t>特殊天赋学生：需要优势发展与学校适应双向支持。</w:t>
      </w:r>
    </w:p>
    <w:p>
      <w:pPr>
        <w:pStyle w:val="ListBullet"/>
        <w:spacing w:after="80" w:line="290" w:lineRule="auto"/>
        <w:ind w:left="540" w:hanging="279"/>
      </w:pPr>
      <w:r>
        <w:rPr>
          <w:rFonts w:ascii="Noto Sans SC" w:hAnsi="Noto Sans SC" w:eastAsia="Noto Sans SC"/>
          <w:b w:val="0"/>
          <w:i w:val="0"/>
          <w:color w:val="0B0B0D"/>
          <w:sz w:val="21"/>
        </w:rPr>
        <w:t>学习困难学生：需要学习策略、节奏、信心和专业转介。</w:t>
      </w:r>
    </w:p>
    <w:p>
      <w:pPr>
        <w:pStyle w:val="ListBullet"/>
        <w:spacing w:after="80" w:line="290" w:lineRule="auto"/>
        <w:ind w:left="540" w:hanging="279"/>
      </w:pPr>
      <w:r>
        <w:rPr>
          <w:rFonts w:ascii="Noto Sans SC" w:hAnsi="Noto Sans SC" w:eastAsia="Noto Sans SC"/>
          <w:b w:val="0"/>
          <w:i w:val="0"/>
          <w:color w:val="0B0B0D"/>
          <w:sz w:val="21"/>
        </w:rPr>
        <w:t>科技特长学生：需要项目、作品、竞赛与升学衔接。</w:t>
      </w:r>
    </w:p>
    <w:p>
      <w:pPr>
        <w:pStyle w:val="ListBullet"/>
        <w:spacing w:after="80" w:line="290" w:lineRule="auto"/>
        <w:ind w:left="540" w:hanging="279"/>
      </w:pPr>
      <w:r>
        <w:rPr>
          <w:rFonts w:ascii="Noto Sans SC" w:hAnsi="Noto Sans SC" w:eastAsia="Noto Sans SC"/>
          <w:b w:val="0"/>
          <w:i w:val="0"/>
          <w:color w:val="0B0B0D"/>
          <w:sz w:val="21"/>
        </w:rPr>
        <w:t>普通成长学生：需要 AI 素养、城市视野、健康与生活能力。</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反标签原则</w:t>
            </w:r>
          </w:p>
          <w:p>
            <w:pPr>
              <w:spacing w:after="0" w:line="288" w:lineRule="auto"/>
            </w:pPr>
            <w:r>
              <w:rPr>
                <w:rFonts w:ascii="Noto Sans SC" w:hAnsi="Noto Sans SC" w:eastAsia="Noto Sans SC"/>
                <w:b w:val="0"/>
                <w:i w:val="0"/>
                <w:color w:val="4B4B4F"/>
                <w:sz w:val="19"/>
              </w:rPr>
              <w:t>不以单次测试或短期表现定义学生，所有画像动态更新。</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09 / 需求诊断</w:t>
      </w:r>
    </w:p>
    <w:p>
      <w:pPr>
        <w:pStyle w:val="Heading1"/>
        <w:keepNext/>
        <w:spacing w:before="0" w:after="200"/>
      </w:pPr>
      <w:r>
        <w:rPr>
          <w:rFonts w:ascii="Noto Sans SC" w:hAnsi="Noto Sans SC" w:eastAsia="Noto Sans SC"/>
          <w:b/>
          <w:i w:val="0"/>
          <w:color w:val="0B0B0D"/>
          <w:sz w:val="44"/>
        </w:rPr>
        <w:t>学校、家庭、课程、资源与评价之间存在五个断点</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学校难以持续满足巨大个体差异；家庭面对碎片化信息容易用焦虑替代规划；课程与真实产业、城市问题脱节；大学和企业资源缺乏稳定进入基础教育的机制；评价仍以成绩和奖项为主，忽视项目行为、健康、生活能力与长期变化。</w:t>
      </w:r>
    </w:p>
    <w:p>
      <w:pPr>
        <w:pStyle w:val="ListBullet"/>
        <w:spacing w:after="80" w:line="290" w:lineRule="auto"/>
        <w:ind w:left="540" w:hanging="279"/>
      </w:pPr>
      <w:r>
        <w:rPr>
          <w:rFonts w:ascii="Noto Sans SC" w:hAnsi="Noto Sans SC" w:eastAsia="Noto Sans SC"/>
          <w:b w:val="0"/>
          <w:i w:val="0"/>
          <w:color w:val="0B0B0D"/>
          <w:sz w:val="21"/>
        </w:rPr>
        <w:t>平台不替代学校，而是补充学校难以长期提供的跨界资源。</w:t>
      </w:r>
    </w:p>
    <w:p>
      <w:pPr>
        <w:pStyle w:val="ListBullet"/>
        <w:spacing w:after="80" w:line="290" w:lineRule="auto"/>
        <w:ind w:left="540" w:hanging="279"/>
      </w:pPr>
      <w:r>
        <w:rPr>
          <w:rFonts w:ascii="Noto Sans SC" w:hAnsi="Noto Sans SC" w:eastAsia="Noto Sans SC"/>
          <w:b w:val="0"/>
          <w:i w:val="0"/>
          <w:color w:val="0B0B0D"/>
          <w:sz w:val="21"/>
        </w:rPr>
        <w:t>平台不替代家庭，而是提供专业结构和持续沟通机制。</w:t>
      </w:r>
    </w:p>
    <w:p>
      <w:pPr>
        <w:pStyle w:val="ListBullet"/>
        <w:spacing w:after="80" w:line="290" w:lineRule="auto"/>
        <w:ind w:left="540" w:hanging="279"/>
      </w:pPr>
      <w:r>
        <w:rPr>
          <w:rFonts w:ascii="Noto Sans SC" w:hAnsi="Noto Sans SC" w:eastAsia="Noto Sans SC"/>
          <w:b w:val="0"/>
          <w:i w:val="0"/>
          <w:color w:val="0B0B0D"/>
          <w:sz w:val="21"/>
        </w:rPr>
        <w:t>平台不替代医疗或心理机构，而是做好教育、观察、转介与跟进。</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解决思路</w:t>
            </w:r>
          </w:p>
          <w:p>
            <w:pPr>
              <w:spacing w:after="0" w:line="288" w:lineRule="auto"/>
            </w:pPr>
            <w:r>
              <w:rPr>
                <w:rFonts w:ascii="Noto Sans SC" w:hAnsi="Noto Sans SC" w:eastAsia="Noto Sans SC"/>
                <w:b w:val="0"/>
                <w:i w:val="0"/>
                <w:color w:val="4B4B4F"/>
                <w:sz w:val="19"/>
              </w:rPr>
              <w:t>用一个开放平台把分散资源转化为连续成长服务。</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10 / 总体模型</w:t>
      </w:r>
    </w:p>
    <w:p>
      <w:pPr>
        <w:pStyle w:val="Heading1"/>
        <w:keepNext/>
        <w:spacing w:before="0" w:after="200"/>
      </w:pPr>
      <w:r>
        <w:rPr>
          <w:rFonts w:ascii="Noto Sans SC" w:hAnsi="Noto Sans SC" w:eastAsia="Noto Sans SC"/>
          <w:b/>
          <w:i w:val="0"/>
          <w:color w:val="0B0B0D"/>
          <w:sz w:val="44"/>
        </w:rPr>
        <w:t>一座港湾、一张地图、五类导师、六大系统、N 个场景</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“一座港湾”是区域成长中心与开放协同平台；“一张地图”是动态成长档案；“五类导师”是成长、学术、科研、产业和健康导师；“六大系统”贯通学习、科创、天赋、健康、城市与未来；“N 个场景”来自学校、大学、企业、实验室、社区和国际交流。</w:t>
      </w:r>
    </w:p>
    <w:p>
      <w:pPr>
        <w:pStyle w:val="ListBullet"/>
        <w:spacing w:after="80" w:line="290" w:lineRule="auto"/>
        <w:ind w:left="540" w:hanging="279"/>
      </w:pPr>
      <w:r>
        <w:rPr>
          <w:rFonts w:ascii="Noto Sans SC" w:hAnsi="Noto Sans SC" w:eastAsia="Noto Sans SC"/>
          <w:b w:val="0"/>
          <w:i w:val="0"/>
          <w:color w:val="0B0B0D"/>
          <w:sz w:val="21"/>
        </w:rPr>
        <w:t>模型强调连续性：测评必须连接课程、导师和项目。</w:t>
      </w:r>
    </w:p>
    <w:p>
      <w:pPr>
        <w:pStyle w:val="ListBullet"/>
        <w:spacing w:after="80" w:line="290" w:lineRule="auto"/>
        <w:ind w:left="540" w:hanging="279"/>
      </w:pPr>
      <w:r>
        <w:rPr>
          <w:rFonts w:ascii="Noto Sans SC" w:hAnsi="Noto Sans SC" w:eastAsia="Noto Sans SC"/>
          <w:b w:val="0"/>
          <w:i w:val="0"/>
          <w:color w:val="0B0B0D"/>
          <w:sz w:val="21"/>
        </w:rPr>
        <w:t>模型强调责任：每个伙伴角色清晰，不用品牌联合掩盖职责。</w:t>
      </w:r>
    </w:p>
    <w:p>
      <w:pPr>
        <w:pStyle w:val="ListBullet"/>
        <w:spacing w:after="80" w:line="290" w:lineRule="auto"/>
        <w:ind w:left="540" w:hanging="279"/>
      </w:pPr>
      <w:r>
        <w:rPr>
          <w:rFonts w:ascii="Noto Sans SC" w:hAnsi="Noto Sans SC" w:eastAsia="Noto Sans SC"/>
          <w:b w:val="0"/>
          <w:i w:val="0"/>
          <w:color w:val="0B0B0D"/>
          <w:sz w:val="21"/>
        </w:rPr>
        <w:t>模型强调证据：作品、研究、行为、反思和外部反馈共同证明成长。</w:t>
      </w:r>
    </w:p>
    <w:p>
      <w:pPr>
        <w:pStyle w:val="ListBullet"/>
        <w:spacing w:after="80" w:line="290" w:lineRule="auto"/>
        <w:ind w:left="540" w:hanging="279"/>
      </w:pPr>
      <w:r>
        <w:rPr>
          <w:rFonts w:ascii="Noto Sans SC" w:hAnsi="Noto Sans SC" w:eastAsia="Noto Sans SC"/>
          <w:b w:val="0"/>
          <w:i w:val="0"/>
          <w:color w:val="0B0B0D"/>
          <w:sz w:val="21"/>
        </w:rPr>
        <w:t>模型强调协同：成长导师统筹主线，其他导师按阶段进入并留下服务记录。</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深圳原创模型</w:t>
            </w:r>
          </w:p>
          <w:p>
            <w:pPr>
              <w:spacing w:after="0" w:line="288" w:lineRule="auto"/>
            </w:pPr>
            <w:r>
              <w:rPr>
                <w:rFonts w:ascii="Noto Sans SC" w:hAnsi="Noto Sans SC" w:eastAsia="Noto Sans SC"/>
                <w:b w:val="0"/>
                <w:i w:val="0"/>
                <w:color w:val="4B4B4F"/>
                <w:sz w:val="19"/>
              </w:rPr>
              <w:t>将全球成熟机制与深圳产业、香港国际资源和大湾区大学群融合。</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11 / 成长闭环</w:t>
      </w:r>
    </w:p>
    <w:p>
      <w:pPr>
        <w:pStyle w:val="Heading1"/>
        <w:keepNext/>
        <w:spacing w:before="0" w:after="200"/>
      </w:pPr>
      <w:r>
        <w:rPr>
          <w:rFonts w:ascii="Noto Sans SC" w:hAnsi="Noto Sans SC" w:eastAsia="Noto Sans SC"/>
          <w:b/>
          <w:i w:val="0"/>
          <w:color w:val="0B0B0D"/>
          <w:sz w:val="44"/>
        </w:rPr>
        <w:t>发现—设计—实践—呈现—衔接</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发现阶段使用测评、学业诊断、兴趣访谈和项目观察；设计阶段形成个人画像、阶段目标、项目路线与学习健康支持；实践阶段进入 AI、科创、城市、企业和大学场景；呈现阶段形成原型、作品、研究与答辩；衔接阶段连接生涯、升学、导师与经授权的人才资源。</w:t>
      </w:r>
    </w:p>
    <w:p>
      <w:pPr>
        <w:pStyle w:val="ListBullet"/>
        <w:spacing w:after="80" w:line="290" w:lineRule="auto"/>
        <w:ind w:left="540" w:hanging="279"/>
      </w:pPr>
      <w:r>
        <w:rPr>
          <w:rFonts w:ascii="Noto Sans SC" w:hAnsi="Noto Sans SC" w:eastAsia="Noto Sans SC"/>
          <w:b w:val="0"/>
          <w:i w:val="0"/>
          <w:color w:val="0B0B0D"/>
          <w:sz w:val="21"/>
        </w:rPr>
        <w:t>每个阶段都产生可复核证据。</w:t>
      </w:r>
    </w:p>
    <w:p>
      <w:pPr>
        <w:pStyle w:val="ListBullet"/>
        <w:spacing w:after="80" w:line="290" w:lineRule="auto"/>
        <w:ind w:left="540" w:hanging="279"/>
      </w:pPr>
      <w:r>
        <w:rPr>
          <w:rFonts w:ascii="Noto Sans SC" w:hAnsi="Noto Sans SC" w:eastAsia="Noto Sans SC"/>
          <w:b w:val="0"/>
          <w:i w:val="0"/>
          <w:color w:val="0B0B0D"/>
          <w:sz w:val="21"/>
        </w:rPr>
        <w:t>学生本人参与目标设定和年度复盘。</w:t>
      </w:r>
    </w:p>
    <w:p>
      <w:pPr>
        <w:pStyle w:val="ListBullet"/>
        <w:spacing w:after="80" w:line="290" w:lineRule="auto"/>
        <w:ind w:left="540" w:hanging="279"/>
      </w:pPr>
      <w:r>
        <w:rPr>
          <w:rFonts w:ascii="Noto Sans SC" w:hAnsi="Noto Sans SC" w:eastAsia="Noto Sans SC"/>
          <w:b w:val="0"/>
          <w:i w:val="0"/>
          <w:color w:val="0B0B0D"/>
          <w:sz w:val="21"/>
        </w:rPr>
        <w:t>重大决定保留人工复核、解释与调整空间。</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一人一案</w:t>
            </w:r>
          </w:p>
          <w:p>
            <w:pPr>
              <w:spacing w:after="0" w:line="288" w:lineRule="auto"/>
            </w:pPr>
            <w:r>
              <w:rPr>
                <w:rFonts w:ascii="Noto Sans SC" w:hAnsi="Noto Sans SC" w:eastAsia="Noto Sans SC"/>
                <w:b w:val="0"/>
                <w:i w:val="0"/>
                <w:color w:val="4B4B4F"/>
                <w:sz w:val="19"/>
              </w:rPr>
              <w:t>成长档案不是静态报告，而是不断被项目和真实行为更新的地图。</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12 / 六大系统</w:t>
      </w:r>
    </w:p>
    <w:p>
      <w:pPr>
        <w:pStyle w:val="Heading1"/>
        <w:keepNext/>
        <w:spacing w:before="0" w:after="200"/>
      </w:pPr>
      <w:r>
        <w:rPr>
          <w:rFonts w:ascii="Noto Sans SC" w:hAnsi="Noto Sans SC" w:eastAsia="Noto Sans SC"/>
          <w:b/>
          <w:i w:val="0"/>
          <w:color w:val="0B0B0D"/>
          <w:sz w:val="44"/>
        </w:rPr>
        <w:t>从学习支持到人生发展的完整闭环</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六大系统共享同一成长档案和导师协同机制，避免服务模块彼此孤立。</w:t>
      </w:r>
    </w:p>
    <w:tbl>
      <w:tblPr>
        <w:tblW w:type="dxa" w:w="9520"/>
        <w:tblLook w:firstColumn="1" w:firstRow="1" w:lastColumn="0" w:lastRow="0" w:noHBand="0" w:noVBand="1" w:val="04A0"/>
        <w:tblLayout w:type="fixed"/>
        <w:jc w:val="center"/>
        <w:tblInd w:w="0" w:type="dxa"/>
      </w:tblPr>
      <w:tblGrid>
        <w:gridCol w:w="900"/>
        <w:gridCol w:w="2500"/>
        <w:gridCol w:w="6120"/>
      </w:tblGrid>
      <w:tr>
        <w:trPr>
          <w:tblHeader w:val="true"/>
        </w:trPr>
        <w:tc>
          <w:tcPr>
            <w:tcW w:type="dxa" w:w="900"/>
            <w:tcMar>
              <w:top w:w="100" w:type="dxa"/>
              <w:start w:w="140" w:type="dxa"/>
              <w:bottom w:w="100" w:type="dxa"/>
              <w:end w:w="140" w:type="dxa"/>
            </w:tcMar>
            <w:shd w:fill="0B0B0D"/>
          </w:tcPr>
          <w:p>
            <w:r>
              <w:rPr>
                <w:rFonts w:ascii="Noto Sans SC" w:hAnsi="Noto Sans SC" w:eastAsia="Noto Sans SC"/>
                <w:b/>
                <w:i w:val="0"/>
                <w:color w:val="FFFFFF"/>
                <w:sz w:val="18"/>
              </w:rPr>
              <w:t>系统</w:t>
            </w:r>
          </w:p>
        </w:tc>
        <w:tc>
          <w:tcPr>
            <w:tcW w:type="dxa" w:w="2500"/>
            <w:tcMar>
              <w:top w:w="100" w:type="dxa"/>
              <w:start w:w="140" w:type="dxa"/>
              <w:bottom w:w="100" w:type="dxa"/>
              <w:end w:w="140" w:type="dxa"/>
            </w:tcMar>
            <w:shd w:fill="0B0B0D"/>
          </w:tcPr>
          <w:p>
            <w:r>
              <w:rPr>
                <w:rFonts w:ascii="Noto Sans SC" w:hAnsi="Noto Sans SC" w:eastAsia="Noto Sans SC"/>
                <w:b/>
                <w:i w:val="0"/>
                <w:color w:val="FFFFFF"/>
                <w:sz w:val="18"/>
              </w:rPr>
              <w:t>模块</w:t>
            </w:r>
          </w:p>
        </w:tc>
        <w:tc>
          <w:tcPr>
            <w:tcW w:type="dxa" w:w="6120"/>
            <w:tcMar>
              <w:top w:w="100" w:type="dxa"/>
              <w:start w:w="140" w:type="dxa"/>
              <w:bottom w:w="100" w:type="dxa"/>
              <w:end w:w="140" w:type="dxa"/>
            </w:tcMar>
            <w:shd w:fill="0B0B0D"/>
          </w:tcPr>
          <w:p>
            <w:r>
              <w:rPr>
                <w:rFonts w:ascii="Noto Sans SC" w:hAnsi="Noto Sans SC" w:eastAsia="Noto Sans SC"/>
                <w:b/>
                <w:i w:val="0"/>
                <w:color w:val="FFFFFF"/>
                <w:sz w:val="18"/>
              </w:rPr>
              <w:t>核心交付</w:t>
            </w:r>
          </w:p>
        </w:tc>
      </w:tr>
      <w:tr>
        <w:tc>
          <w:tcPr>
            <w:tcW w:type="dxa" w:w="90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01</w:t>
            </w:r>
          </w:p>
        </w:tc>
        <w:tc>
          <w:tcPr>
            <w:tcW w:type="dxa" w:w="250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AI 辅助学习</w:t>
            </w:r>
          </w:p>
        </w:tc>
        <w:tc>
          <w:tcPr>
            <w:tcW w:type="dxa" w:w="612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诊断、策略、反馈、特殊学生支持</w:t>
            </w:r>
          </w:p>
        </w:tc>
      </w:tr>
      <w:tr>
        <w:tc>
          <w:tcPr>
            <w:tcW w:type="dxa" w:w="90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02</w:t>
            </w:r>
          </w:p>
        </w:tc>
        <w:tc>
          <w:tcPr>
            <w:tcW w:type="dxa" w:w="250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项目制科创</w:t>
            </w:r>
          </w:p>
        </w:tc>
        <w:tc>
          <w:tcPr>
            <w:tcW w:type="dxa" w:w="612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真实问题、原型、迭代、公开表达</w:t>
            </w:r>
          </w:p>
        </w:tc>
      </w:tr>
      <w:tr>
        <w:tc>
          <w:tcPr>
            <w:tcW w:type="dxa" w:w="90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03</w:t>
            </w:r>
          </w:p>
        </w:tc>
        <w:tc>
          <w:tcPr>
            <w:tcW w:type="dxa" w:w="250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天赋培养</w:t>
            </w:r>
          </w:p>
        </w:tc>
        <w:tc>
          <w:tcPr>
            <w:tcW w:type="dxa" w:w="612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多元证据、一人一案、五类导师</w:t>
            </w:r>
          </w:p>
        </w:tc>
      </w:tr>
      <w:tr>
        <w:tc>
          <w:tcPr>
            <w:tcW w:type="dxa" w:w="90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04</w:t>
            </w:r>
          </w:p>
        </w:tc>
        <w:tc>
          <w:tcPr>
            <w:tcW w:type="dxa" w:w="250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全人健康</w:t>
            </w:r>
          </w:p>
        </w:tc>
        <w:tc>
          <w:tcPr>
            <w:tcW w:type="dxa" w:w="612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人格、心理、生理、环境与生活能力</w:t>
            </w:r>
          </w:p>
        </w:tc>
      </w:tr>
      <w:tr>
        <w:tc>
          <w:tcPr>
            <w:tcW w:type="dxa" w:w="90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05</w:t>
            </w:r>
          </w:p>
        </w:tc>
        <w:tc>
          <w:tcPr>
            <w:tcW w:type="dxa" w:w="250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城市研学</w:t>
            </w:r>
          </w:p>
        </w:tc>
        <w:tc>
          <w:tcPr>
            <w:tcW w:type="dxa" w:w="612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企业、大学、社区与大湾区场景</w:t>
            </w:r>
          </w:p>
        </w:tc>
      </w:tr>
      <w:tr>
        <w:tc>
          <w:tcPr>
            <w:tcW w:type="dxa" w:w="90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06</w:t>
            </w:r>
          </w:p>
        </w:tc>
        <w:tc>
          <w:tcPr>
            <w:tcW w:type="dxa" w:w="250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生涯衔接</w:t>
            </w:r>
          </w:p>
        </w:tc>
        <w:tc>
          <w:tcPr>
            <w:tcW w:type="dxa" w:w="612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成长档案、多元升学与授权推荐</w:t>
            </w:r>
          </w:p>
        </w:tc>
      </w:tr>
    </w:tbl>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13 / 系统一</w:t>
      </w:r>
    </w:p>
    <w:p>
      <w:pPr>
        <w:pStyle w:val="Heading1"/>
        <w:keepNext/>
        <w:spacing w:before="0" w:after="200"/>
      </w:pPr>
      <w:r>
        <w:rPr>
          <w:rFonts w:ascii="Noto Sans SC" w:hAnsi="Noto Sans SC" w:eastAsia="Noto Sans SC"/>
          <w:b/>
          <w:i w:val="0"/>
          <w:color w:val="0B0B0D"/>
          <w:sz w:val="44"/>
        </w:rPr>
        <w:t>AI 辅助高效学习与特殊学生帮扶</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AI 用于知识缺口分析、错误类型识别、任务拆解、个性化讲解、练习反馈、研究和创造，但不替代教师对目标、方法与学生状态的判断。对学习困难学生，应先从优势切入，以小步目标和可见成果恢复成就感，再逐步提升效率。</w:t>
      </w:r>
    </w:p>
    <w:p>
      <w:pPr>
        <w:pStyle w:val="ListBullet"/>
        <w:spacing w:after="80" w:line="290" w:lineRule="auto"/>
        <w:ind w:left="540" w:hanging="279"/>
      </w:pPr>
      <w:r>
        <w:rPr>
          <w:rFonts w:ascii="Noto Sans SC" w:hAnsi="Noto Sans SC" w:eastAsia="Noto Sans SC"/>
          <w:b w:val="0"/>
          <w:i w:val="0"/>
          <w:color w:val="0B0B0D"/>
          <w:sz w:val="21"/>
        </w:rPr>
        <w:t>诊断：基础、行为、效率障碍和可执行建议。</w:t>
      </w:r>
    </w:p>
    <w:p>
      <w:pPr>
        <w:pStyle w:val="ListBullet"/>
        <w:spacing w:after="80" w:line="290" w:lineRule="auto"/>
        <w:ind w:left="540" w:hanging="279"/>
      </w:pPr>
      <w:r>
        <w:rPr>
          <w:rFonts w:ascii="Noto Sans SC" w:hAnsi="Noto Sans SC" w:eastAsia="Noto Sans SC"/>
          <w:b w:val="0"/>
          <w:i w:val="0"/>
          <w:color w:val="0B0B0D"/>
          <w:sz w:val="21"/>
        </w:rPr>
        <w:t>计划：目标分层、任务拆解和时间策略。</w:t>
      </w:r>
    </w:p>
    <w:p>
      <w:pPr>
        <w:pStyle w:val="ListBullet"/>
        <w:spacing w:after="80" w:line="290" w:lineRule="auto"/>
        <w:ind w:left="540" w:hanging="279"/>
      </w:pPr>
      <w:r>
        <w:rPr>
          <w:rFonts w:ascii="Noto Sans SC" w:hAnsi="Noto Sans SC" w:eastAsia="Noto Sans SC"/>
          <w:b w:val="0"/>
          <w:i w:val="0"/>
          <w:color w:val="0B0B0D"/>
          <w:sz w:val="21"/>
        </w:rPr>
        <w:t>学习：解释、示例、练习和即时反馈。</w:t>
      </w:r>
    </w:p>
    <w:p>
      <w:pPr>
        <w:pStyle w:val="ListBullet"/>
        <w:spacing w:after="80" w:line="290" w:lineRule="auto"/>
        <w:ind w:left="540" w:hanging="279"/>
      </w:pPr>
      <w:r>
        <w:rPr>
          <w:rFonts w:ascii="Noto Sans SC" w:hAnsi="Noto Sans SC" w:eastAsia="Noto Sans SC"/>
          <w:b w:val="0"/>
          <w:i w:val="0"/>
          <w:color w:val="0B0B0D"/>
          <w:sz w:val="21"/>
        </w:rPr>
        <w:t>复盘：成长证据、反思与下一步。</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四条边界</w:t>
            </w:r>
          </w:p>
          <w:p>
            <w:pPr>
              <w:spacing w:after="0" w:line="288" w:lineRule="auto"/>
            </w:pPr>
            <w:r>
              <w:rPr>
                <w:rFonts w:ascii="Noto Sans SC" w:hAnsi="Noto Sans SC" w:eastAsia="Noto Sans SC"/>
                <w:b w:val="0"/>
                <w:i w:val="0"/>
                <w:color w:val="4B4B4F"/>
                <w:sz w:val="19"/>
              </w:rPr>
              <w:t>不替代教师、不制造依赖、不越界诊疗、不牺牲隐私。</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14 / 系统二</w:t>
      </w:r>
    </w:p>
    <w:p>
      <w:pPr>
        <w:pStyle w:val="Heading1"/>
        <w:keepNext/>
        <w:spacing w:before="0" w:after="200"/>
      </w:pPr>
      <w:r>
        <w:rPr>
          <w:rFonts w:ascii="Noto Sans SC" w:hAnsi="Noto Sans SC" w:eastAsia="Noto Sans SC"/>
          <w:b/>
          <w:i w:val="0"/>
          <w:color w:val="0B0B0D"/>
          <w:sz w:val="44"/>
        </w:rPr>
        <w:t>科创与项目制创新实践</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中心以真实问题组织跨学科学习：学生观察深圳城市与产业，定义问题与用户，调用科学、工程、人文和数据知识，完成原型、测试与迭代，最终通过展览和答辩对外表达。</w:t>
      </w:r>
    </w:p>
    <w:p>
      <w:pPr>
        <w:pStyle w:val="ListBullet"/>
        <w:spacing w:after="80" w:line="290" w:lineRule="auto"/>
        <w:ind w:left="540" w:hanging="279"/>
      </w:pPr>
      <w:r>
        <w:rPr>
          <w:rFonts w:ascii="Noto Sans SC" w:hAnsi="Noto Sans SC" w:eastAsia="Noto Sans SC"/>
          <w:b w:val="0"/>
          <w:i w:val="0"/>
          <w:color w:val="0B0B0D"/>
          <w:sz w:val="21"/>
        </w:rPr>
        <w:t>项目题库：智能制造、绿色城市、公共服务、数字生活。</w:t>
      </w:r>
    </w:p>
    <w:p>
      <w:pPr>
        <w:pStyle w:val="ListBullet"/>
        <w:spacing w:after="80" w:line="290" w:lineRule="auto"/>
        <w:ind w:left="540" w:hanging="279"/>
      </w:pPr>
      <w:r>
        <w:rPr>
          <w:rFonts w:ascii="Noto Sans SC" w:hAnsi="Noto Sans SC" w:eastAsia="Noto Sans SC"/>
          <w:b w:val="0"/>
          <w:i w:val="0"/>
          <w:color w:val="0B0B0D"/>
          <w:sz w:val="21"/>
        </w:rPr>
        <w:t>企业贡献：真实课题、工程导师、场景设备与质量标准。</w:t>
      </w:r>
    </w:p>
    <w:p>
      <w:pPr>
        <w:pStyle w:val="ListBullet"/>
        <w:spacing w:after="80" w:line="290" w:lineRule="auto"/>
        <w:ind w:left="540" w:hanging="279"/>
      </w:pPr>
      <w:r>
        <w:rPr>
          <w:rFonts w:ascii="Noto Sans SC" w:hAnsi="Noto Sans SC" w:eastAsia="Noto Sans SC"/>
          <w:b w:val="0"/>
          <w:i w:val="0"/>
          <w:color w:val="0B0B0D"/>
          <w:sz w:val="21"/>
        </w:rPr>
        <w:t>成长证据：作品、研究、表达、反思和社会影响。</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项目质量</w:t>
            </w:r>
          </w:p>
          <w:p>
            <w:pPr>
              <w:spacing w:after="0" w:line="288" w:lineRule="auto"/>
            </w:pPr>
            <w:r>
              <w:rPr>
                <w:rFonts w:ascii="Noto Sans SC" w:hAnsi="Noto Sans SC" w:eastAsia="Noto Sans SC"/>
                <w:b w:val="0"/>
                <w:i w:val="0"/>
                <w:color w:val="4B4B4F"/>
                <w:sz w:val="19"/>
              </w:rPr>
              <w:t>不以“做过活动”为成果，而以问题深度、迭代过程、团队行为和外部反馈判断。</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15 / 系统三</w:t>
      </w:r>
    </w:p>
    <w:p>
      <w:pPr>
        <w:pStyle w:val="Heading1"/>
        <w:keepNext/>
        <w:spacing w:before="0" w:after="200"/>
      </w:pPr>
      <w:r>
        <w:rPr>
          <w:rFonts w:ascii="Noto Sans SC" w:hAnsi="Noto Sans SC" w:eastAsia="Noto Sans SC"/>
          <w:b/>
          <w:i w:val="0"/>
          <w:color w:val="0B0B0D"/>
          <w:sz w:val="44"/>
        </w:rPr>
        <w:t>天赋发现与天才少年定制化培养</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正式政策名称为“拔尖创新人才发现与培养计划”，面向家长和学生传播使用“B&amp;G 天才少年计划”，英文为 B&amp;G Future Talent Institute。计划不把天才作为营销标签，而是用多元证据发现高潜信号，并提供更合适的挑战与长期支持。</w:t>
      </w:r>
    </w:p>
    <w:p>
      <w:pPr>
        <w:pStyle w:val="ListBullet"/>
        <w:spacing w:after="80" w:line="290" w:lineRule="auto"/>
        <w:ind w:left="540" w:hanging="279"/>
      </w:pPr>
      <w:r>
        <w:rPr>
          <w:rFonts w:ascii="Noto Sans SC" w:hAnsi="Noto Sans SC" w:eastAsia="Noto Sans SC"/>
          <w:b w:val="0"/>
          <w:i w:val="0"/>
          <w:color w:val="0B0B0D"/>
          <w:sz w:val="21"/>
        </w:rPr>
        <w:t>证据：学习表现、兴趣持续、项目行为、创造表达和导师观察。</w:t>
      </w:r>
    </w:p>
    <w:p>
      <w:pPr>
        <w:pStyle w:val="ListBullet"/>
        <w:spacing w:after="80" w:line="290" w:lineRule="auto"/>
        <w:ind w:left="540" w:hanging="279"/>
      </w:pPr>
      <w:r>
        <w:rPr>
          <w:rFonts w:ascii="Noto Sans SC" w:hAnsi="Noto Sans SC" w:eastAsia="Noto Sans SC"/>
          <w:b w:val="0"/>
          <w:i w:val="0"/>
          <w:color w:val="0B0B0D"/>
          <w:sz w:val="21"/>
        </w:rPr>
        <w:t>架构：一人一案、成长/学术/科研/产业/健康五类导师、N 个开放场景。</w:t>
      </w:r>
    </w:p>
    <w:p>
      <w:pPr>
        <w:pStyle w:val="ListBullet"/>
        <w:spacing w:after="80" w:line="290" w:lineRule="auto"/>
        <w:ind w:left="540" w:hanging="279"/>
      </w:pPr>
      <w:r>
        <w:rPr>
          <w:rFonts w:ascii="Noto Sans SC" w:hAnsi="Noto Sans SC" w:eastAsia="Noto Sans SC"/>
          <w:b w:val="0"/>
          <w:i w:val="0"/>
          <w:color w:val="0B0B0D"/>
          <w:sz w:val="21"/>
        </w:rPr>
        <w:t>路径：学术研究、工程创造、人文社会和综合领导可组合。</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公平机制</w:t>
            </w:r>
          </w:p>
          <w:p>
            <w:pPr>
              <w:spacing w:after="0" w:line="288" w:lineRule="auto"/>
            </w:pPr>
            <w:r>
              <w:rPr>
                <w:rFonts w:ascii="Noto Sans SC" w:hAnsi="Noto Sans SC" w:eastAsia="Noto Sans SC"/>
                <w:b w:val="0"/>
                <w:i w:val="0"/>
                <w:color w:val="4B4B4F"/>
                <w:sz w:val="19"/>
              </w:rPr>
              <w:t>家庭定制服务支持运营；学校项目与公益奖助保证普通家庭中的潜能学生也能进入。</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16 / 培养周期</w:t>
      </w:r>
    </w:p>
    <w:p>
      <w:pPr>
        <w:pStyle w:val="Heading1"/>
        <w:keepNext/>
        <w:spacing w:before="0" w:after="200"/>
      </w:pPr>
      <w:r>
        <w:rPr>
          <w:rFonts w:ascii="Noto Sans SC" w:hAnsi="Noto Sans SC" w:eastAsia="Noto Sans SC"/>
          <w:b/>
          <w:i w:val="0"/>
          <w:color w:val="0B0B0D"/>
          <w:sz w:val="44"/>
        </w:rPr>
        <w:t>用一学年完成发现、挑战、成果和升级</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培养从基线画像与目标共创开始，经过能力训练、导师匹配、大学或企业真实项目、成果迭代与公开表达，在年度复盘中更新下一阶段路线。导师不是名人名单，而是一套包括准入、培训、记录、反馈、督导与退出的责任机制。</w:t>
      </w:r>
    </w:p>
    <w:p>
      <w:pPr>
        <w:pStyle w:val="ListBullet"/>
        <w:spacing w:after="80" w:line="290" w:lineRule="auto"/>
        <w:ind w:left="540" w:hanging="279"/>
      </w:pPr>
      <w:r>
        <w:rPr>
          <w:rFonts w:ascii="Noto Sans SC" w:hAnsi="Noto Sans SC" w:eastAsia="Noto Sans SC"/>
          <w:b w:val="0"/>
          <w:i w:val="0"/>
          <w:color w:val="0B0B0D"/>
          <w:sz w:val="21"/>
        </w:rPr>
        <w:t>成长导师：跟进目标、状态、家庭与跨方协同。</w:t>
      </w:r>
    </w:p>
    <w:p>
      <w:pPr>
        <w:pStyle w:val="ListBullet"/>
        <w:spacing w:after="80" w:line="290" w:lineRule="auto"/>
        <w:ind w:left="540" w:hanging="279"/>
      </w:pPr>
      <w:r>
        <w:rPr>
          <w:rFonts w:ascii="Noto Sans SC" w:hAnsi="Noto Sans SC" w:eastAsia="Noto Sans SC"/>
          <w:b w:val="0"/>
          <w:i w:val="0"/>
          <w:color w:val="0B0B0D"/>
          <w:sz w:val="21"/>
        </w:rPr>
        <w:t>学术导师：负责学科基础、学习策略与高阶挑战。</w:t>
      </w:r>
    </w:p>
    <w:p>
      <w:pPr>
        <w:pStyle w:val="ListBullet"/>
        <w:spacing w:after="80" w:line="290" w:lineRule="auto"/>
        <w:ind w:left="540" w:hanging="279"/>
      </w:pPr>
      <w:r>
        <w:rPr>
          <w:rFonts w:ascii="Noto Sans SC" w:hAnsi="Noto Sans SC" w:eastAsia="Noto Sans SC"/>
          <w:b w:val="0"/>
          <w:i w:val="0"/>
          <w:color w:val="0B0B0D"/>
          <w:sz w:val="21"/>
        </w:rPr>
        <w:t>科研导师：负责研究方法、证据、伦理与质量标准。</w:t>
      </w:r>
    </w:p>
    <w:p>
      <w:pPr>
        <w:pStyle w:val="ListBullet"/>
        <w:spacing w:after="80" w:line="290" w:lineRule="auto"/>
        <w:ind w:left="540" w:hanging="279"/>
      </w:pPr>
      <w:r>
        <w:rPr>
          <w:rFonts w:ascii="Noto Sans SC" w:hAnsi="Noto Sans SC" w:eastAsia="Noto Sans SC"/>
          <w:b w:val="0"/>
          <w:i w:val="0"/>
          <w:color w:val="0B0B0D"/>
          <w:sz w:val="21"/>
        </w:rPr>
        <w:t>产业导师：提供真实问题、工程过程与职业视角。</w:t>
      </w:r>
    </w:p>
    <w:p>
      <w:pPr>
        <w:pStyle w:val="ListBullet"/>
        <w:spacing w:after="80" w:line="290" w:lineRule="auto"/>
        <w:ind w:left="540" w:hanging="279"/>
      </w:pPr>
      <w:r>
        <w:rPr>
          <w:rFonts w:ascii="Noto Sans SC" w:hAnsi="Noto Sans SC" w:eastAsia="Noto Sans SC"/>
          <w:b w:val="0"/>
          <w:i w:val="0"/>
          <w:color w:val="0B0B0D"/>
          <w:sz w:val="21"/>
        </w:rPr>
        <w:t>健康导师：负责健康教育、日常观察与专业转介协调。</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结果边界</w:t>
            </w:r>
          </w:p>
          <w:p>
            <w:pPr>
              <w:spacing w:after="0" w:line="288" w:lineRule="auto"/>
            </w:pPr>
            <w:r>
              <w:rPr>
                <w:rFonts w:ascii="Noto Sans SC" w:hAnsi="Noto Sans SC" w:eastAsia="Noto Sans SC"/>
                <w:b w:val="0"/>
                <w:i w:val="0"/>
                <w:color w:val="4B4B4F"/>
                <w:sz w:val="19"/>
              </w:rPr>
              <w:t>不承诺保录、获奖、专利或所谓“成为天才”的确定结果。</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17 / 系统四</w:t>
      </w:r>
    </w:p>
    <w:p>
      <w:pPr>
        <w:pStyle w:val="Heading1"/>
        <w:keepNext/>
        <w:spacing w:before="0" w:after="200"/>
      </w:pPr>
      <w:r>
        <w:rPr>
          <w:rFonts w:ascii="Noto Sans SC" w:hAnsi="Noto Sans SC" w:eastAsia="Noto Sans SC"/>
          <w:b/>
          <w:i w:val="0"/>
          <w:color w:val="0B0B0D"/>
          <w:sz w:val="44"/>
        </w:rPr>
        <w:t>人格、心理、生理与生活健康教育</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健康不是附加讲座，而是所有成长的底座。人格与社会情感学习帮助学生认识自己、管理自己、理解他人、建立关系并做负责任的决定；心理健康建立教育、观察、转介和跟进的链条；生理、环境和生活教育则把睡眠、运动、营养、安全、自理与求助转化为日常行动。</w:t>
      </w:r>
    </w:p>
    <w:p>
      <w:pPr>
        <w:pStyle w:val="ListBullet"/>
        <w:spacing w:after="80" w:line="290" w:lineRule="auto"/>
        <w:ind w:left="540" w:hanging="279"/>
      </w:pPr>
      <w:r>
        <w:rPr>
          <w:rFonts w:ascii="Noto Sans SC" w:hAnsi="Noto Sans SC" w:eastAsia="Noto Sans SC"/>
          <w:b w:val="0"/>
          <w:i w:val="0"/>
          <w:color w:val="0B0B0D"/>
          <w:sz w:val="21"/>
        </w:rPr>
        <w:t>中心负责健康教育、日常观察与转介协调。</w:t>
      </w:r>
    </w:p>
    <w:p>
      <w:pPr>
        <w:pStyle w:val="ListBullet"/>
        <w:spacing w:after="80" w:line="290" w:lineRule="auto"/>
        <w:ind w:left="540" w:hanging="279"/>
      </w:pPr>
      <w:r>
        <w:rPr>
          <w:rFonts w:ascii="Noto Sans SC" w:hAnsi="Noto Sans SC" w:eastAsia="Noto Sans SC"/>
          <w:b w:val="0"/>
          <w:i w:val="0"/>
          <w:color w:val="0B0B0D"/>
          <w:sz w:val="21"/>
        </w:rPr>
        <w:t>心理、生理问题由持证专业人员和正规机构提供评估或服务。</w:t>
      </w:r>
    </w:p>
    <w:p>
      <w:pPr>
        <w:pStyle w:val="ListBullet"/>
        <w:spacing w:after="80" w:line="290" w:lineRule="auto"/>
        <w:ind w:left="540" w:hanging="279"/>
      </w:pPr>
      <w:r>
        <w:rPr>
          <w:rFonts w:ascii="Noto Sans SC" w:hAnsi="Noto Sans SC" w:eastAsia="Noto Sans SC"/>
          <w:b w:val="0"/>
          <w:i w:val="0"/>
          <w:color w:val="0B0B0D"/>
          <w:sz w:val="21"/>
        </w:rPr>
        <w:t>家庭、学校、中心与专业机构职责清晰、信息最少必要。</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专业基础</w:t>
            </w:r>
          </w:p>
          <w:p>
            <w:pPr>
              <w:spacing w:after="0" w:line="288" w:lineRule="auto"/>
            </w:pPr>
            <w:r>
              <w:rPr>
                <w:rFonts w:ascii="Noto Sans SC" w:hAnsi="Noto Sans SC" w:eastAsia="Noto Sans SC"/>
                <w:b w:val="0"/>
                <w:i w:val="0"/>
                <w:color w:val="4B4B4F"/>
                <w:sz w:val="19"/>
              </w:rPr>
              <w:t>项目方拟在一周内补充 3—5 家健康合作机构及专家名单，正式发布前逐项核验资质。</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18 / 系统五</w:t>
      </w:r>
    </w:p>
    <w:p>
      <w:pPr>
        <w:pStyle w:val="Heading1"/>
        <w:keepNext/>
        <w:spacing w:before="0" w:after="200"/>
      </w:pPr>
      <w:r>
        <w:rPr>
          <w:rFonts w:ascii="Noto Sans SC" w:hAnsi="Noto Sans SC" w:eastAsia="Noto Sans SC"/>
          <w:b/>
          <w:i w:val="0"/>
          <w:color w:val="0B0B0D"/>
          <w:sz w:val="44"/>
        </w:rPr>
        <w:t>城市探索、企业实践与大学研学</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把宝安制造、前海开放、南山科技、罗湖城市文化以及香港、松山湖和湾区高校资源转化为主题路线。每次研学必须有出发前问题、现场任务、导师互动、成果输出和返程复盘，避免“参观即研学”。</w:t>
      </w:r>
    </w:p>
    <w:p>
      <w:pPr>
        <w:pStyle w:val="ListBullet"/>
        <w:spacing w:after="80" w:line="290" w:lineRule="auto"/>
        <w:ind w:left="540" w:hanging="279"/>
      </w:pPr>
      <w:r>
        <w:rPr>
          <w:rFonts w:ascii="Noto Sans SC" w:hAnsi="Noto Sans SC" w:eastAsia="Noto Sans SC"/>
          <w:b w:val="0"/>
          <w:i w:val="0"/>
          <w:color w:val="0B0B0D"/>
          <w:sz w:val="21"/>
        </w:rPr>
        <w:t>深圳路线：AI、机器人、新能源、城市治理。</w:t>
      </w:r>
    </w:p>
    <w:p>
      <w:pPr>
        <w:pStyle w:val="ListBullet"/>
        <w:spacing w:after="80" w:line="290" w:lineRule="auto"/>
        <w:ind w:left="540" w:hanging="279"/>
      </w:pPr>
      <w:r>
        <w:rPr>
          <w:rFonts w:ascii="Noto Sans SC" w:hAnsi="Noto Sans SC" w:eastAsia="Noto Sans SC"/>
          <w:b w:val="0"/>
          <w:i w:val="0"/>
          <w:color w:val="0B0B0D"/>
          <w:sz w:val="21"/>
        </w:rPr>
        <w:t>香港路线：大学、金融科技、国际交流、北部都会区。</w:t>
      </w:r>
    </w:p>
    <w:p>
      <w:pPr>
        <w:pStyle w:val="ListBullet"/>
        <w:spacing w:after="80" w:line="290" w:lineRule="auto"/>
        <w:ind w:left="540" w:hanging="279"/>
      </w:pPr>
      <w:r>
        <w:rPr>
          <w:rFonts w:ascii="Noto Sans SC" w:hAnsi="Noto Sans SC" w:eastAsia="Noto Sans SC"/>
          <w:b w:val="0"/>
          <w:i w:val="0"/>
          <w:color w:val="0B0B0D"/>
          <w:sz w:val="21"/>
        </w:rPr>
        <w:t>松山湖路线：先进制造、科研装置和产业集群。</w:t>
      </w:r>
    </w:p>
    <w:p>
      <w:pPr>
        <w:pStyle w:val="ListBullet"/>
        <w:spacing w:after="80" w:line="290" w:lineRule="auto"/>
        <w:ind w:left="540" w:hanging="279"/>
      </w:pPr>
      <w:r>
        <w:rPr>
          <w:rFonts w:ascii="Noto Sans SC" w:hAnsi="Noto Sans SC" w:eastAsia="Noto Sans SC"/>
          <w:b w:val="0"/>
          <w:i w:val="0"/>
          <w:color w:val="0B0B0D"/>
          <w:sz w:val="21"/>
        </w:rPr>
        <w:t>湾区高校路线：基础研究、生物医药与综合创新。</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从参访到共育</w:t>
            </w:r>
          </w:p>
          <w:p>
            <w:pPr>
              <w:spacing w:after="0" w:line="288" w:lineRule="auto"/>
            </w:pPr>
            <w:r>
              <w:rPr>
                <w:rFonts w:ascii="Noto Sans SC" w:hAnsi="Noto Sans SC" w:eastAsia="Noto Sans SC"/>
                <w:b w:val="0"/>
                <w:i w:val="0"/>
                <w:color w:val="4B4B4F"/>
                <w:sz w:val="19"/>
              </w:rPr>
              <w:t>大学和企业应进入长期导师、课题、研究方法和评价机制。</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19 / 系统六</w:t>
      </w:r>
    </w:p>
    <w:p>
      <w:pPr>
        <w:pStyle w:val="Heading1"/>
        <w:keepNext/>
        <w:spacing w:before="0" w:after="200"/>
      </w:pPr>
      <w:r>
        <w:rPr>
          <w:rFonts w:ascii="Noto Sans SC" w:hAnsi="Noto Sans SC" w:eastAsia="Noto Sans SC"/>
          <w:b/>
          <w:i w:val="0"/>
          <w:color w:val="0B0B0D"/>
          <w:sz w:val="44"/>
        </w:rPr>
        <w:t>生涯规划、升学衔接与人才资源推荐</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成长中心把生涯规划前置到真实体验与自我认识，而不是只在志愿填报阶段介入。学生通过项目理解学科与职业，通过成长档案积累可验证证据，并在关键升学节点获得多元路径研究与决策支持。</w:t>
      </w:r>
    </w:p>
    <w:p>
      <w:pPr>
        <w:pStyle w:val="ListBullet"/>
        <w:spacing w:after="80" w:line="290" w:lineRule="auto"/>
        <w:ind w:left="540" w:hanging="279"/>
      </w:pPr>
      <w:r>
        <w:rPr>
          <w:rFonts w:ascii="Noto Sans SC" w:hAnsi="Noto Sans SC" w:eastAsia="Noto Sans SC"/>
          <w:b w:val="0"/>
          <w:i w:val="0"/>
          <w:color w:val="0B0B0D"/>
          <w:sz w:val="21"/>
        </w:rPr>
        <w:t>生涯：兴趣、能力、价值、场景与未来任务。</w:t>
      </w:r>
    </w:p>
    <w:p>
      <w:pPr>
        <w:pStyle w:val="ListBullet"/>
        <w:spacing w:after="80" w:line="290" w:lineRule="auto"/>
        <w:ind w:left="540" w:hanging="279"/>
      </w:pPr>
      <w:r>
        <w:rPr>
          <w:rFonts w:ascii="Noto Sans SC" w:hAnsi="Noto Sans SC" w:eastAsia="Noto Sans SC"/>
          <w:b w:val="0"/>
          <w:i w:val="0"/>
          <w:color w:val="0B0B0D"/>
          <w:sz w:val="21"/>
        </w:rPr>
        <w:t>升学：国内、港澳、国际及科技特长等合规路径。</w:t>
      </w:r>
    </w:p>
    <w:p>
      <w:pPr>
        <w:pStyle w:val="ListBullet"/>
        <w:spacing w:after="80" w:line="290" w:lineRule="auto"/>
        <w:ind w:left="540" w:hanging="279"/>
      </w:pPr>
      <w:r>
        <w:rPr>
          <w:rFonts w:ascii="Noto Sans SC" w:hAnsi="Noto Sans SC" w:eastAsia="Noto Sans SC"/>
          <w:b w:val="0"/>
          <w:i w:val="0"/>
          <w:color w:val="0B0B0D"/>
          <w:sz w:val="21"/>
        </w:rPr>
        <w:t>推荐：在学生与监护人明确授权后向学校或项目提供必要信息。</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认证边界</w:t>
            </w:r>
          </w:p>
          <w:p>
            <w:pPr>
              <w:spacing w:after="0" w:line="288" w:lineRule="auto"/>
            </w:pPr>
            <w:r>
              <w:rPr>
                <w:rFonts w:ascii="Noto Sans SC" w:hAnsi="Noto Sans SC" w:eastAsia="Noto Sans SC"/>
                <w:b w:val="0"/>
                <w:i w:val="0"/>
                <w:color w:val="4B4B4F"/>
                <w:sz w:val="19"/>
              </w:rPr>
              <w:t>“天才少年认证”仅可作为内部成长等级或项目证书，不能暗示国家或高校官方资质。</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20 / 测评平台</w:t>
      </w:r>
    </w:p>
    <w:p>
      <w:pPr>
        <w:pStyle w:val="Heading1"/>
        <w:keepNext/>
        <w:spacing w:before="0" w:after="200"/>
      </w:pPr>
      <w:r>
        <w:rPr>
          <w:rFonts w:ascii="Noto Sans SC" w:hAnsi="Noto Sans SC" w:eastAsia="Noto Sans SC"/>
          <w:b/>
          <w:i w:val="0"/>
          <w:color w:val="0B0B0D"/>
          <w:sz w:val="44"/>
        </w:rPr>
        <w:t>从一次测评，升级为持续理解</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平台规划五层成长信号：学业与学习策略、兴趣与优势潜能、项目与实践行为、全人发展信号、导师与家庭观察。AI 用于整理和提示，人对重要判断负责。未来与 FIGS、BIAA、OURSHS、SZCDA 等能力分阶段融合，当前不宣称已完成系统对接。</w:t>
      </w:r>
    </w:p>
    <w:p>
      <w:pPr>
        <w:pStyle w:val="ListBullet"/>
        <w:spacing w:after="80" w:line="290" w:lineRule="auto"/>
        <w:ind w:left="540" w:hanging="279"/>
      </w:pPr>
      <w:r>
        <w:rPr>
          <w:rFonts w:ascii="Noto Sans SC" w:hAnsi="Noto Sans SC" w:eastAsia="Noto Sans SC"/>
          <w:b w:val="0"/>
          <w:i w:val="0"/>
          <w:color w:val="0B0B0D"/>
          <w:sz w:val="21"/>
        </w:rPr>
        <w:t>首版保留入口，预计一周内上线基础说明与预约。</w:t>
      </w:r>
    </w:p>
    <w:p>
      <w:pPr>
        <w:pStyle w:val="ListBullet"/>
        <w:spacing w:after="80" w:line="290" w:lineRule="auto"/>
        <w:ind w:left="540" w:hanging="279"/>
      </w:pPr>
      <w:r>
        <w:rPr>
          <w:rFonts w:ascii="Noto Sans SC" w:hAnsi="Noto Sans SC" w:eastAsia="Noto Sans SC"/>
          <w:b w:val="0"/>
          <w:i w:val="0"/>
          <w:color w:val="0B0B0D"/>
          <w:sz w:val="21"/>
        </w:rPr>
        <w:t>量表、算法、认证名称与第三方接口须完成专业评审和合规测试。</w:t>
      </w:r>
    </w:p>
    <w:p>
      <w:pPr>
        <w:pStyle w:val="ListBullet"/>
        <w:spacing w:after="80" w:line="290" w:lineRule="auto"/>
        <w:ind w:left="540" w:hanging="279"/>
      </w:pPr>
      <w:r>
        <w:rPr>
          <w:rFonts w:ascii="Noto Sans SC" w:hAnsi="Noto Sans SC" w:eastAsia="Noto Sans SC"/>
          <w:b w:val="0"/>
          <w:i w:val="0"/>
          <w:color w:val="0B0B0D"/>
          <w:sz w:val="21"/>
        </w:rPr>
        <w:t>不把心理量表用于无资质诊断或不透明筛选。</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平台目标</w:t>
            </w:r>
          </w:p>
          <w:p>
            <w:pPr>
              <w:spacing w:after="0" w:line="288" w:lineRule="auto"/>
            </w:pPr>
            <w:r>
              <w:rPr>
                <w:rFonts w:ascii="Noto Sans SC" w:hAnsi="Noto Sans SC" w:eastAsia="Noto Sans SC"/>
                <w:b w:val="0"/>
                <w:i w:val="0"/>
                <w:color w:val="4B4B4F"/>
                <w:sz w:val="19"/>
              </w:rPr>
              <w:t>让学生、家庭、学校和导师在同一张图上讨论下一步，而不是只看一个总分。</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21 / 数据治理</w:t>
      </w:r>
    </w:p>
    <w:p>
      <w:pPr>
        <w:pStyle w:val="Heading1"/>
        <w:keepNext/>
        <w:spacing w:before="0" w:after="200"/>
      </w:pPr>
      <w:r>
        <w:rPr>
          <w:rFonts w:ascii="Noto Sans SC" w:hAnsi="Noto Sans SC" w:eastAsia="Noto Sans SC"/>
          <w:b/>
          <w:i w:val="0"/>
          <w:color w:val="0B0B0D"/>
          <w:sz w:val="44"/>
        </w:rPr>
        <w:t>未成年人信息坚持最少必要、知情授权和分级权限</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平台必须建立监护人授权、学生适龄告知、访问权限、记录留痕、查阅更正、撤回删除、数据期限和事件响应机制。人才推荐、研究使用、第三方系统连接和公开传播均需另行授权。</w:t>
      </w:r>
    </w:p>
    <w:p>
      <w:pPr>
        <w:pStyle w:val="ListBullet"/>
        <w:spacing w:after="80" w:line="290" w:lineRule="auto"/>
        <w:ind w:left="540" w:hanging="279"/>
      </w:pPr>
      <w:r>
        <w:rPr>
          <w:rFonts w:ascii="Noto Sans SC" w:hAnsi="Noto Sans SC" w:eastAsia="Noto Sans SC"/>
          <w:b w:val="0"/>
          <w:i w:val="0"/>
          <w:color w:val="0B0B0D"/>
          <w:sz w:val="21"/>
        </w:rPr>
        <w:t>禁止将公开传播同意与教育服务捆绑。</w:t>
      </w:r>
    </w:p>
    <w:p>
      <w:pPr>
        <w:pStyle w:val="ListBullet"/>
        <w:spacing w:after="80" w:line="290" w:lineRule="auto"/>
        <w:ind w:left="540" w:hanging="279"/>
      </w:pPr>
      <w:r>
        <w:rPr>
          <w:rFonts w:ascii="Noto Sans SC" w:hAnsi="Noto Sans SC" w:eastAsia="Noto Sans SC"/>
          <w:b w:val="0"/>
          <w:i w:val="0"/>
          <w:color w:val="0B0B0D"/>
          <w:sz w:val="21"/>
        </w:rPr>
        <w:t>默认不公开学生姓名、学校、成绩、健康与家庭信息。</w:t>
      </w:r>
    </w:p>
    <w:p>
      <w:pPr>
        <w:pStyle w:val="ListBullet"/>
        <w:spacing w:after="80" w:line="290" w:lineRule="auto"/>
        <w:ind w:left="540" w:hanging="279"/>
      </w:pPr>
      <w:r>
        <w:rPr>
          <w:rFonts w:ascii="Noto Sans SC" w:hAnsi="Noto Sans SC" w:eastAsia="Noto Sans SC"/>
          <w:b w:val="0"/>
          <w:i w:val="0"/>
          <w:color w:val="0B0B0D"/>
          <w:sz w:val="21"/>
        </w:rPr>
        <w:t>AI 输出需要标注不确定性，并提供人工复核和申诉路径。</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高风险场景</w:t>
            </w:r>
          </w:p>
          <w:p>
            <w:pPr>
              <w:spacing w:after="0" w:line="288" w:lineRule="auto"/>
            </w:pPr>
            <w:r>
              <w:rPr>
                <w:rFonts w:ascii="Noto Sans SC" w:hAnsi="Noto Sans SC" w:eastAsia="Noto Sans SC"/>
                <w:b w:val="0"/>
                <w:i w:val="0"/>
                <w:color w:val="4B4B4F"/>
                <w:sz w:val="19"/>
              </w:rPr>
              <w:t>心理健康、升学推荐、潜能分类和资源分配不允许由算法自动决定。</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22 / 全球参考一</w:t>
      </w:r>
    </w:p>
    <w:p>
      <w:pPr>
        <w:pStyle w:val="Heading1"/>
        <w:keepNext/>
        <w:spacing w:before="0" w:after="200"/>
      </w:pPr>
      <w:r>
        <w:rPr>
          <w:rFonts w:ascii="Noto Sans SC" w:hAnsi="Noto Sans SC" w:eastAsia="Noto Sans SC"/>
          <w:b/>
          <w:i w:val="0"/>
          <w:color w:val="0B0B0D"/>
          <w:sz w:val="44"/>
        </w:rPr>
        <w:t>AI、天赋与校企协同的成熟机制</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MIT RAISE 提供年龄分层、螺旋递进且包含伦理议题的 AI 素养框架；Johns Hopkins CTY 将能力测评与进阶学习、资助相连；香港资优教育学苑同时服务学生、家长、教师、学校与研究；P-TECH 以学校、大学和企业三方合作连接导师、工作场景和未来衔接。</w:t>
      </w:r>
    </w:p>
    <w:p>
      <w:pPr>
        <w:pStyle w:val="ListBullet"/>
        <w:spacing w:after="80" w:line="290" w:lineRule="auto"/>
        <w:ind w:left="540" w:hanging="279"/>
      </w:pPr>
      <w:r>
        <w:rPr>
          <w:rFonts w:ascii="Noto Sans SC" w:hAnsi="Noto Sans SC" w:eastAsia="Noto Sans SC"/>
          <w:b w:val="0"/>
          <w:i w:val="0"/>
          <w:color w:val="0B0B0D"/>
          <w:sz w:val="21"/>
        </w:rPr>
        <w:t>转化一：建立小学—初中—高中 AI 素养护照。</w:t>
      </w:r>
    </w:p>
    <w:p>
      <w:pPr>
        <w:pStyle w:val="ListBullet"/>
        <w:spacing w:after="80" w:line="290" w:lineRule="auto"/>
        <w:ind w:left="540" w:hanging="279"/>
      </w:pPr>
      <w:r>
        <w:rPr>
          <w:rFonts w:ascii="Noto Sans SC" w:hAnsi="Noto Sans SC" w:eastAsia="Noto Sans SC"/>
          <w:b w:val="0"/>
          <w:i w:val="0"/>
          <w:color w:val="0B0B0D"/>
          <w:sz w:val="21"/>
        </w:rPr>
        <w:t>转化二：测评结果必须连接挑战、导师和奖助。</w:t>
      </w:r>
    </w:p>
    <w:p>
      <w:pPr>
        <w:pStyle w:val="ListBullet"/>
        <w:spacing w:after="80" w:line="290" w:lineRule="auto"/>
        <w:ind w:left="540" w:hanging="279"/>
      </w:pPr>
      <w:r>
        <w:rPr>
          <w:rFonts w:ascii="Noto Sans SC" w:hAnsi="Noto Sans SC" w:eastAsia="Noto Sans SC"/>
          <w:b w:val="0"/>
          <w:i w:val="0"/>
          <w:color w:val="0B0B0D"/>
          <w:sz w:val="21"/>
        </w:rPr>
        <w:t>转化三：学生、家长、教师与研究四线并行。</w:t>
      </w:r>
    </w:p>
    <w:p>
      <w:pPr>
        <w:pStyle w:val="ListBullet"/>
        <w:spacing w:after="80" w:line="290" w:lineRule="auto"/>
        <w:ind w:left="540" w:hanging="279"/>
      </w:pPr>
      <w:r>
        <w:rPr>
          <w:rFonts w:ascii="Noto Sans SC" w:hAnsi="Noto Sans SC" w:eastAsia="Noto Sans SC"/>
          <w:b w:val="0"/>
          <w:i w:val="0"/>
          <w:color w:val="0B0B0D"/>
          <w:sz w:val="21"/>
        </w:rPr>
        <w:t>转化四：每个共建中心必须明确学校、大学与企业角色。</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研究原则</w:t>
            </w:r>
          </w:p>
          <w:p>
            <w:pPr>
              <w:spacing w:after="0" w:line="288" w:lineRule="auto"/>
            </w:pPr>
            <w:r>
              <w:rPr>
                <w:rFonts w:ascii="Noto Sans SC" w:hAnsi="Noto Sans SC" w:eastAsia="Noto Sans SC"/>
                <w:b w:val="0"/>
                <w:i w:val="0"/>
                <w:color w:val="4B4B4F"/>
                <w:sz w:val="19"/>
              </w:rPr>
              <w:t>借鉴公开机制，不复制品牌、课程、图表、视觉和知识产权。</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23 / 全球参考二</w:t>
      </w:r>
    </w:p>
    <w:p>
      <w:pPr>
        <w:pStyle w:val="Heading1"/>
        <w:keepNext/>
        <w:spacing w:before="0" w:after="200"/>
      </w:pPr>
      <w:r>
        <w:rPr>
          <w:rFonts w:ascii="Noto Sans SC" w:hAnsi="Noto Sans SC" w:eastAsia="Noto Sans SC"/>
          <w:b/>
          <w:i w:val="0"/>
          <w:color w:val="0B0B0D"/>
          <w:sz w:val="44"/>
        </w:rPr>
        <w:t>区域网络、真实课题与全人健康</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芬兰 LUMA 以大学和区域中心构成科学教育网络；以色列 Future Scientists Center 采用基金、教育部门和大学合作的多年制培养；新加坡科学中心让学生解决社区真实问题；WHO 健康促进学校和 CASEL 社会情感学习强调学校、家庭、社区和专业系统共同治理。</w:t>
      </w:r>
    </w:p>
    <w:p>
      <w:pPr>
        <w:pStyle w:val="ListBullet"/>
        <w:spacing w:after="80" w:line="290" w:lineRule="auto"/>
        <w:ind w:left="540" w:hanging="279"/>
      </w:pPr>
      <w:r>
        <w:rPr>
          <w:rFonts w:ascii="Noto Sans SC" w:hAnsi="Noto Sans SC" w:eastAsia="Noto Sans SC"/>
          <w:b w:val="0"/>
          <w:i w:val="0"/>
          <w:color w:val="0B0B0D"/>
          <w:sz w:val="21"/>
        </w:rPr>
        <w:t>转化一：大学枢纽 + 区域中心 + 学校社群。</w:t>
      </w:r>
    </w:p>
    <w:p>
      <w:pPr>
        <w:pStyle w:val="ListBullet"/>
        <w:spacing w:after="80" w:line="290" w:lineRule="auto"/>
        <w:ind w:left="540" w:hanging="279"/>
      </w:pPr>
      <w:r>
        <w:rPr>
          <w:rFonts w:ascii="Noto Sans SC" w:hAnsi="Noto Sans SC" w:eastAsia="Noto Sans SC"/>
          <w:b w:val="0"/>
          <w:i w:val="0"/>
          <w:color w:val="0B0B0D"/>
          <w:sz w:val="21"/>
        </w:rPr>
        <w:t>转化二：多年制培养纳入学术、同伴、健康与校友网络。</w:t>
      </w:r>
    </w:p>
    <w:p>
      <w:pPr>
        <w:pStyle w:val="ListBullet"/>
        <w:spacing w:after="80" w:line="290" w:lineRule="auto"/>
        <w:ind w:left="540" w:hanging="279"/>
      </w:pPr>
      <w:r>
        <w:rPr>
          <w:rFonts w:ascii="Noto Sans SC" w:hAnsi="Noto Sans SC" w:eastAsia="Noto Sans SC"/>
          <w:b w:val="0"/>
          <w:i w:val="0"/>
          <w:color w:val="0B0B0D"/>
          <w:sz w:val="21"/>
        </w:rPr>
        <w:t>转化三：建立深圳城市问题课题库。</w:t>
      </w:r>
    </w:p>
    <w:p>
      <w:pPr>
        <w:pStyle w:val="ListBullet"/>
        <w:spacing w:after="80" w:line="290" w:lineRule="auto"/>
        <w:ind w:left="540" w:hanging="279"/>
      </w:pPr>
      <w:r>
        <w:rPr>
          <w:rFonts w:ascii="Noto Sans SC" w:hAnsi="Noto Sans SC" w:eastAsia="Noto Sans SC"/>
          <w:b w:val="0"/>
          <w:i w:val="0"/>
          <w:color w:val="0B0B0D"/>
          <w:sz w:val="21"/>
        </w:rPr>
        <w:t>转化四：健康板块形成政策、环境、课程和转介体系。</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综合结论</w:t>
            </w:r>
          </w:p>
          <w:p>
            <w:pPr>
              <w:spacing w:after="0" w:line="288" w:lineRule="auto"/>
            </w:pPr>
            <w:r>
              <w:rPr>
                <w:rFonts w:ascii="Noto Sans SC" w:hAnsi="Noto Sans SC" w:eastAsia="Noto Sans SC"/>
                <w:b w:val="0"/>
                <w:i w:val="0"/>
                <w:color w:val="4B4B4F"/>
                <w:sz w:val="19"/>
              </w:rPr>
              <w:t>复制依靠标准与证据，不能依靠中心数量和品牌曝光。</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24 / 治理架构</w:t>
      </w:r>
    </w:p>
    <w:p>
      <w:pPr>
        <w:pStyle w:val="Heading1"/>
        <w:keepNext/>
        <w:spacing w:before="0" w:after="200"/>
      </w:pPr>
      <w:r>
        <w:rPr>
          <w:rFonts w:ascii="Noto Sans SC" w:hAnsi="Noto Sans SC" w:eastAsia="Noto Sans SC"/>
          <w:b/>
          <w:i w:val="0"/>
          <w:color w:val="0B0B0D"/>
          <w:sz w:val="44"/>
        </w:rPr>
        <w:t>协会牵引、教育协同、企业运营、专业共建</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深圳市生涯规划与发展协会、深高教育联盟、深圳青少年科技创新协会拟作为平等联合发起平台，目前口径为“已初步达成意向，待正式签约”。博格港湾作为品牌、产品、项目管理和中心运营服务方，不替代协会、学校、医疗和专业机构的法定职责。</w:t>
      </w:r>
    </w:p>
    <w:p>
      <w:pPr>
        <w:pStyle w:val="ListBullet"/>
        <w:spacing w:after="80" w:line="290" w:lineRule="auto"/>
        <w:ind w:left="540" w:hanging="279"/>
      </w:pPr>
      <w:r>
        <w:rPr>
          <w:rFonts w:ascii="Noto Sans SC" w:hAnsi="Noto Sans SC" w:eastAsia="Noto Sans SC"/>
          <w:b w:val="0"/>
          <w:i w:val="0"/>
          <w:color w:val="0B0B0D"/>
          <w:sz w:val="21"/>
        </w:rPr>
        <w:t>决策层：发展方向、重大合作、质量与社会责任。</w:t>
      </w:r>
    </w:p>
    <w:p>
      <w:pPr>
        <w:pStyle w:val="ListBullet"/>
        <w:spacing w:after="80" w:line="290" w:lineRule="auto"/>
        <w:ind w:left="540" w:hanging="279"/>
      </w:pPr>
      <w:r>
        <w:rPr>
          <w:rFonts w:ascii="Noto Sans SC" w:hAnsi="Noto Sans SC" w:eastAsia="Noto Sans SC"/>
          <w:b w:val="0"/>
          <w:i w:val="0"/>
          <w:color w:val="0B0B0D"/>
          <w:sz w:val="21"/>
        </w:rPr>
        <w:t>专家层：教育、科技、心理健康、儿童保护和合规评审。</w:t>
      </w:r>
    </w:p>
    <w:p>
      <w:pPr>
        <w:pStyle w:val="ListBullet"/>
        <w:spacing w:after="80" w:line="290" w:lineRule="auto"/>
        <w:ind w:left="540" w:hanging="279"/>
      </w:pPr>
      <w:r>
        <w:rPr>
          <w:rFonts w:ascii="Noto Sans SC" w:hAnsi="Noto Sans SC" w:eastAsia="Noto Sans SC"/>
          <w:b w:val="0"/>
          <w:i w:val="0"/>
          <w:color w:val="0B0B0D"/>
          <w:sz w:val="21"/>
        </w:rPr>
        <w:t>执行层：中心运营、课程项目、导师管理、数据与品牌。</w:t>
      </w:r>
    </w:p>
    <w:p>
      <w:pPr>
        <w:pStyle w:val="ListBullet"/>
        <w:spacing w:after="80" w:line="290" w:lineRule="auto"/>
        <w:ind w:left="540" w:hanging="279"/>
      </w:pPr>
      <w:r>
        <w:rPr>
          <w:rFonts w:ascii="Noto Sans SC" w:hAnsi="Noto Sans SC" w:eastAsia="Noto Sans SC"/>
          <w:b w:val="0"/>
          <w:i w:val="0"/>
          <w:color w:val="0B0B0D"/>
          <w:sz w:val="21"/>
        </w:rPr>
        <w:t>监督层：安全、投诉、利益冲突、效果与财务透明。</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平等呈现</w:t>
            </w:r>
          </w:p>
          <w:p>
            <w:pPr>
              <w:spacing w:after="0" w:line="288" w:lineRule="auto"/>
            </w:pPr>
            <w:r>
              <w:rPr>
                <w:rFonts w:ascii="Noto Sans SC" w:hAnsi="Noto Sans SC" w:eastAsia="Noto Sans SC"/>
                <w:b w:val="0"/>
                <w:i w:val="0"/>
                <w:color w:val="4B4B4F"/>
                <w:sz w:val="19"/>
              </w:rPr>
              <w:t>三方平台不设置主次；具体权责、出资、知识产权和退出机制写入正式协议。</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25 / 伙伴生态</w:t>
      </w:r>
    </w:p>
    <w:p>
      <w:pPr>
        <w:pStyle w:val="Heading1"/>
        <w:keepNext/>
        <w:spacing w:before="0" w:after="200"/>
      </w:pPr>
      <w:r>
        <w:rPr>
          <w:rFonts w:ascii="Noto Sans SC" w:hAnsi="Noto Sans SC" w:eastAsia="Noto Sans SC"/>
          <w:b/>
          <w:i w:val="0"/>
          <w:color w:val="0B0B0D"/>
          <w:sz w:val="44"/>
        </w:rPr>
        <w:t>六类伙伴以不同资源进入同一质量体系</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政府部门提供政策指导、公共场地和区域协同；协会与教育联盟组织专家、标准与行业连接；高校与科研机构提供导师、实验室、课程和研究；中小学负责学生发现、校本衔接和家校协同；科技企业提供真实课题、工程师、设备和场景；基金与公益机构支持奖助、特殊群体与社会影响。</w:t>
      </w:r>
    </w:p>
    <w:p>
      <w:pPr>
        <w:pStyle w:val="ListBullet"/>
        <w:spacing w:after="80" w:line="290" w:lineRule="auto"/>
        <w:ind w:left="540" w:hanging="279"/>
      </w:pPr>
      <w:r>
        <w:rPr>
          <w:rFonts w:ascii="Noto Sans SC" w:hAnsi="Noto Sans SC" w:eastAsia="Noto Sans SC"/>
          <w:b w:val="0"/>
          <w:i w:val="0"/>
          <w:color w:val="0B0B0D"/>
          <w:sz w:val="21"/>
        </w:rPr>
        <w:t>首批场地可来自产教融合基地、企业展厅、社区党群服务中心和合规商业空间。</w:t>
      </w:r>
    </w:p>
    <w:p>
      <w:pPr>
        <w:pStyle w:val="ListBullet"/>
        <w:spacing w:after="80" w:line="290" w:lineRule="auto"/>
        <w:ind w:left="540" w:hanging="279"/>
      </w:pPr>
      <w:r>
        <w:rPr>
          <w:rFonts w:ascii="Noto Sans SC" w:hAnsi="Noto Sans SC" w:eastAsia="Noto Sans SC"/>
          <w:b w:val="0"/>
          <w:i w:val="0"/>
          <w:color w:val="0B0B0D"/>
          <w:sz w:val="21"/>
        </w:rPr>
        <w:t>首批区域建议以宝安、前海、南山、罗湖为优先，按资源成熟度启动。</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名单使用</w:t>
            </w:r>
          </w:p>
          <w:p>
            <w:pPr>
              <w:spacing w:after="0" w:line="288" w:lineRule="auto"/>
            </w:pPr>
            <w:r>
              <w:rPr>
                <w:rFonts w:ascii="Noto Sans SC" w:hAnsi="Noto Sans SC" w:eastAsia="Noto Sans SC"/>
                <w:b w:val="0"/>
                <w:i w:val="0"/>
                <w:color w:val="4B4B4F"/>
                <w:sz w:val="19"/>
              </w:rPr>
              <w:t>未正式签约的大学、学校、企业和政府部门只作为重点连接方向，不列为支持单位。</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26 / 顾问与人物</w:t>
      </w:r>
    </w:p>
    <w:p>
      <w:pPr>
        <w:pStyle w:val="Heading1"/>
        <w:keepNext/>
        <w:spacing w:before="0" w:after="200"/>
      </w:pPr>
      <w:r>
        <w:rPr>
          <w:rFonts w:ascii="Noto Sans SC" w:hAnsi="Noto Sans SC" w:eastAsia="Noto Sans SC"/>
          <w:b/>
          <w:i w:val="0"/>
          <w:color w:val="0B0B0D"/>
          <w:sz w:val="44"/>
        </w:rPr>
        <w:t>创始团队与顾问机制共同守住长期主义</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郭丹锐担任项目倡导人，Mia Huang 担任创始合伙人并负责合规与治理，佘国治担任项目顾问。首版仅使用项目方已确认的信息；人物肖像、完整履历、顾问席位与机构身份的公开范围以本人书面授权为准。</w:t>
      </w:r>
    </w:p>
    <w:tbl>
      <w:tblPr>
        <w:tblW w:type="dxa" w:w="9520"/>
        <w:tblLook w:firstColumn="1" w:firstRow="1" w:lastColumn="0" w:lastRow="0" w:noHBand="0" w:noVBand="1" w:val="04A0"/>
        <w:tblLayout w:type="fixed"/>
        <w:jc w:val="center"/>
        <w:tblInd w:w="0" w:type="dxa"/>
      </w:tblPr>
      <w:tblGrid>
        <w:gridCol w:w="1450"/>
        <w:gridCol w:w="4200"/>
        <w:gridCol w:w="3870"/>
      </w:tblGrid>
      <w:tr>
        <w:trPr>
          <w:tblHeader w:val="true"/>
        </w:trPr>
        <w:tc>
          <w:tcPr>
            <w:tcW w:type="dxa" w:w="1450"/>
            <w:tcMar>
              <w:top w:w="100" w:type="dxa"/>
              <w:start w:w="140" w:type="dxa"/>
              <w:bottom w:w="100" w:type="dxa"/>
              <w:end w:w="140" w:type="dxa"/>
            </w:tcMar>
            <w:shd w:fill="0B0B0D"/>
          </w:tcPr>
          <w:p>
            <w:r>
              <w:rPr>
                <w:rFonts w:ascii="Noto Sans SC" w:hAnsi="Noto Sans SC" w:eastAsia="Noto Sans SC"/>
                <w:b/>
                <w:i w:val="0"/>
                <w:color w:val="FFFFFF"/>
                <w:sz w:val="18"/>
              </w:rPr>
              <w:t>角色</w:t>
            </w:r>
          </w:p>
        </w:tc>
        <w:tc>
          <w:tcPr>
            <w:tcW w:type="dxa" w:w="4200"/>
            <w:tcMar>
              <w:top w:w="100" w:type="dxa"/>
              <w:start w:w="140" w:type="dxa"/>
              <w:bottom w:w="100" w:type="dxa"/>
              <w:end w:w="140" w:type="dxa"/>
            </w:tcMar>
            <w:shd w:fill="0B0B0D"/>
          </w:tcPr>
          <w:p>
            <w:r>
              <w:rPr>
                <w:rFonts w:ascii="Noto Sans SC" w:hAnsi="Noto Sans SC" w:eastAsia="Noto Sans SC"/>
                <w:b/>
                <w:i w:val="0"/>
                <w:color w:val="FFFFFF"/>
                <w:sz w:val="18"/>
              </w:rPr>
              <w:t>姓名 / 身份</w:t>
            </w:r>
          </w:p>
        </w:tc>
        <w:tc>
          <w:tcPr>
            <w:tcW w:type="dxa" w:w="3870"/>
            <w:tcMar>
              <w:top w:w="100" w:type="dxa"/>
              <w:start w:w="140" w:type="dxa"/>
              <w:bottom w:w="100" w:type="dxa"/>
              <w:end w:w="140" w:type="dxa"/>
            </w:tcMar>
            <w:shd w:fill="0B0B0D"/>
          </w:tcPr>
          <w:p>
            <w:r>
              <w:rPr>
                <w:rFonts w:ascii="Noto Sans SC" w:hAnsi="Noto Sans SC" w:eastAsia="Noto Sans SC"/>
                <w:b/>
                <w:i w:val="0"/>
                <w:color w:val="FFFFFF"/>
                <w:sz w:val="18"/>
              </w:rPr>
              <w:t>项目职责</w:t>
            </w:r>
          </w:p>
        </w:tc>
      </w:tr>
      <w:tr>
        <w:tc>
          <w:tcPr>
            <w:tcW w:type="dxa" w:w="145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项目倡导人</w:t>
            </w:r>
          </w:p>
        </w:tc>
        <w:tc>
          <w:tcPr>
            <w:tcW w:type="dxa" w:w="420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郭丹锐</w:t>
              <w:br/>
              <w:t>北京大学广东校友会副会长；科技创业投资人、科创导师；Xccelerate 科技基金会（XTF）合伙人兼基金经理</w:t>
            </w:r>
          </w:p>
        </w:tc>
        <w:tc>
          <w:tcPr>
            <w:tcW w:type="dxa" w:w="387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战略倡导、产业与基金连接、科创导师网络、公共合作推动</w:t>
            </w:r>
          </w:p>
        </w:tc>
      </w:tr>
      <w:tr>
        <w:tc>
          <w:tcPr>
            <w:tcW w:type="dxa" w:w="145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创始合伙人</w:t>
            </w:r>
          </w:p>
        </w:tc>
        <w:tc>
          <w:tcPr>
            <w:tcW w:type="dxa" w:w="420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Mia Huang</w:t>
              <w:br/>
              <w:t>公募基金合规部负责人</w:t>
            </w:r>
          </w:p>
        </w:tc>
        <w:tc>
          <w:tcPr>
            <w:tcW w:type="dxa" w:w="387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合规治理、风险框架、伙伴准入、信息披露与制度建设</w:t>
            </w:r>
          </w:p>
        </w:tc>
      </w:tr>
      <w:tr>
        <w:tc>
          <w:tcPr>
            <w:tcW w:type="dxa" w:w="145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项目顾问</w:t>
            </w:r>
          </w:p>
        </w:tc>
        <w:tc>
          <w:tcPr>
            <w:tcW w:type="dxa" w:w="420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佘国治</w:t>
            </w:r>
          </w:p>
        </w:tc>
        <w:tc>
          <w:tcPr>
            <w:tcW w:type="dxa" w:w="3870"/>
            <w:shd w:fill="FFFFFF"/>
            <w:tcMar>
              <w:top w:w="100" w:type="dxa"/>
              <w:start w:w="140" w:type="dxa"/>
              <w:bottom w:w="100" w:type="dxa"/>
              <w:end w:w="140" w:type="dxa"/>
            </w:tcMar>
          </w:tcPr>
          <w:p>
            <w:pPr>
              <w:spacing w:after="0"/>
            </w:pPr>
            <w:r>
              <w:rPr>
                <w:rFonts w:ascii="Noto Sans SC" w:hAnsi="Noto Sans SC" w:eastAsia="Noto Sans SC"/>
                <w:b w:val="0"/>
                <w:i w:val="0"/>
                <w:color w:val="0B0B0D"/>
                <w:sz w:val="18"/>
              </w:rPr>
              <w:t>教育治理、学校发展、人才培养机制与重大质量建议</w:t>
            </w:r>
          </w:p>
        </w:tc>
      </w:tr>
      <w:tr>
        <w:tc>
          <w:tcPr>
            <w:tcW w:type="dxa" w:w="145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顾问团队</w:t>
            </w:r>
          </w:p>
        </w:tc>
        <w:tc>
          <w:tcPr>
            <w:tcW w:type="dxa" w:w="420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教育 / 科创 / 健康 / 合规 / 公益席位</w:t>
            </w:r>
          </w:p>
        </w:tc>
        <w:tc>
          <w:tcPr>
            <w:tcW w:type="dxa" w:w="3870"/>
            <w:shd w:fill="F4F1EA"/>
            <w:tcMar>
              <w:top w:w="100" w:type="dxa"/>
              <w:start w:w="140" w:type="dxa"/>
              <w:bottom w:w="100" w:type="dxa"/>
              <w:end w:w="140" w:type="dxa"/>
            </w:tcMar>
          </w:tcPr>
          <w:p>
            <w:pPr>
              <w:spacing w:after="0"/>
            </w:pPr>
            <w:r>
              <w:rPr>
                <w:rFonts w:ascii="Noto Sans SC" w:hAnsi="Noto Sans SC" w:eastAsia="Noto Sans SC"/>
                <w:b w:val="0"/>
                <w:i w:val="0"/>
                <w:color w:val="0B0B0D"/>
                <w:sz w:val="18"/>
              </w:rPr>
              <w:t>按准入、利益冲突、年度履职与对外授权机制逐步邀请</w:t>
            </w:r>
          </w:p>
        </w:tc>
      </w:tr>
    </w:tbl>
    <w:p>
      <w:pPr>
        <w:pStyle w:val="ListBullet"/>
        <w:spacing w:after="80" w:line="290" w:lineRule="auto"/>
        <w:ind w:left="540" w:hanging="279"/>
      </w:pPr>
      <w:r>
        <w:rPr>
          <w:rFonts w:ascii="Noto Sans SC" w:hAnsi="Noto Sans SC" w:eastAsia="Noto Sans SC"/>
          <w:b w:val="0"/>
          <w:i w:val="0"/>
          <w:color w:val="0B0B0D"/>
          <w:sz w:val="21"/>
        </w:rPr>
        <w:t>郭丹锐：北京大学广东校友会副会长；科技创业投资人、科创导师；Xccelerate 科技基金会（XTF）合伙人兼基金经理。</w:t>
      </w:r>
    </w:p>
    <w:p>
      <w:pPr>
        <w:pStyle w:val="ListBullet"/>
        <w:spacing w:after="80" w:line="290" w:lineRule="auto"/>
        <w:ind w:left="540" w:hanging="279"/>
      </w:pPr>
      <w:r>
        <w:rPr>
          <w:rFonts w:ascii="Noto Sans SC" w:hAnsi="Noto Sans SC" w:eastAsia="Noto Sans SC"/>
          <w:b w:val="0"/>
          <w:i w:val="0"/>
          <w:color w:val="0B0B0D"/>
          <w:sz w:val="21"/>
        </w:rPr>
        <w:t>Mia Huang：公募基金合规部负责人，负责合规治理、风险框架、伙伴准入与信息披露。</w:t>
      </w:r>
    </w:p>
    <w:p>
      <w:pPr>
        <w:pStyle w:val="ListBullet"/>
        <w:spacing w:after="80" w:line="290" w:lineRule="auto"/>
        <w:ind w:left="540" w:hanging="279"/>
      </w:pPr>
      <w:r>
        <w:rPr>
          <w:rFonts w:ascii="Noto Sans SC" w:hAnsi="Noto Sans SC" w:eastAsia="Noto Sans SC"/>
          <w:b w:val="0"/>
          <w:i w:val="0"/>
          <w:color w:val="0B0B0D"/>
          <w:sz w:val="21"/>
        </w:rPr>
        <w:t>佘国治：项目顾问；完整履历与公开使用范围待本人书面确认。</w:t>
      </w:r>
    </w:p>
    <w:p>
      <w:pPr>
        <w:pStyle w:val="ListBullet"/>
        <w:spacing w:after="80" w:line="290" w:lineRule="auto"/>
        <w:ind w:left="540" w:hanging="279"/>
      </w:pPr>
      <w:r>
        <w:rPr>
          <w:rFonts w:ascii="Noto Sans SC" w:hAnsi="Noto Sans SC" w:eastAsia="Noto Sans SC"/>
          <w:b w:val="0"/>
          <w:i w:val="0"/>
          <w:color w:val="0B0B0D"/>
          <w:sz w:val="21"/>
        </w:rPr>
        <w:t>其他顾问按教育、科创、健康、合规与公益专业准入机制逐步邀请。</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人物原则</w:t>
            </w:r>
          </w:p>
          <w:p>
            <w:pPr>
              <w:spacing w:after="0" w:line="288" w:lineRule="auto"/>
            </w:pPr>
            <w:r>
              <w:rPr>
                <w:rFonts w:ascii="Noto Sans SC" w:hAnsi="Noto Sans SC" w:eastAsia="Noto Sans SC"/>
                <w:b w:val="0"/>
                <w:i w:val="0"/>
                <w:color w:val="4B4B4F"/>
                <w:sz w:val="19"/>
              </w:rPr>
              <w:t>顾问不是荣誉墙；需要明确职责、参与频率、利益冲突、年度履职与对外表达权限。</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27 / 双品牌体系</w:t>
      </w:r>
    </w:p>
    <w:p>
      <w:pPr>
        <w:pStyle w:val="Heading1"/>
        <w:keepNext/>
        <w:spacing w:before="0" w:after="200"/>
      </w:pPr>
      <w:r>
        <w:rPr>
          <w:rFonts w:ascii="Noto Sans SC" w:hAnsi="Noto Sans SC" w:eastAsia="Noto Sans SC"/>
          <w:b/>
          <w:i w:val="0"/>
          <w:color w:val="0B0B0D"/>
          <w:sz w:val="44"/>
        </w:rPr>
        <w:t>博格港湾承担文化与运营，港湾中心支持多方共建</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“博格港湾青少年智能科技成长中心 / B&amp;G Youth AI &amp; Technology Center”是文化母体与运营品牌，建立标准、产品、课程框架、质量和品牌资产。“港湾青少年智能科技成长中心 / Harbor Youth AI &amp; Technology Center”是公共共建品牌，可进行区域化和机构化联合命名。</w:t>
      </w:r>
    </w:p>
    <w:p>
      <w:pPr>
        <w:pStyle w:val="ListBullet"/>
        <w:spacing w:after="80" w:line="290" w:lineRule="auto"/>
        <w:ind w:left="540" w:hanging="279"/>
      </w:pPr>
      <w:r>
        <w:rPr>
          <w:rFonts w:ascii="Noto Sans SC" w:hAnsi="Noto Sans SC" w:eastAsia="Noto Sans SC"/>
          <w:b w:val="0"/>
          <w:i w:val="0"/>
          <w:color w:val="0B0B0D"/>
          <w:sz w:val="21"/>
        </w:rPr>
        <w:t>区域型：前海港湾青少年智能科技成长中心。</w:t>
      </w:r>
    </w:p>
    <w:p>
      <w:pPr>
        <w:pStyle w:val="ListBullet"/>
        <w:spacing w:after="80" w:line="290" w:lineRule="auto"/>
        <w:ind w:left="540" w:hanging="279"/>
      </w:pPr>
      <w:r>
        <w:rPr>
          <w:rFonts w:ascii="Noto Sans SC" w:hAnsi="Noto Sans SC" w:eastAsia="Noto Sans SC"/>
          <w:b w:val="0"/>
          <w:i w:val="0"/>
          <w:color w:val="0B0B0D"/>
          <w:sz w:val="21"/>
        </w:rPr>
        <w:t>企业型：××科技·港湾青少年智能科技成长中心（仅作语法示例）。</w:t>
      </w:r>
    </w:p>
    <w:p>
      <w:pPr>
        <w:pStyle w:val="ListBullet"/>
        <w:spacing w:after="80" w:line="290" w:lineRule="auto"/>
        <w:ind w:left="540" w:hanging="279"/>
      </w:pPr>
      <w:r>
        <w:rPr>
          <w:rFonts w:ascii="Noto Sans SC" w:hAnsi="Noto Sans SC" w:eastAsia="Noto Sans SC"/>
          <w:b w:val="0"/>
          <w:i w:val="0"/>
          <w:color w:val="0B0B0D"/>
          <w:sz w:val="21"/>
        </w:rPr>
        <w:t>公益型：××基金·港湾青少年成长计划。</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冠名审核</w:t>
            </w:r>
          </w:p>
          <w:p>
            <w:pPr>
              <w:spacing w:after="0" w:line="288" w:lineRule="auto"/>
            </w:pPr>
            <w:r>
              <w:rPr>
                <w:rFonts w:ascii="Noto Sans SC" w:hAnsi="Noto Sans SC" w:eastAsia="Noto Sans SC"/>
                <w:b w:val="0"/>
                <w:i w:val="0"/>
                <w:color w:val="4B4B4F"/>
                <w:sz w:val="19"/>
              </w:rPr>
              <w:t>每个联合品牌必须通过主体、商标、舆情、质量、儿童保护、期限和退出审核。</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28 / VI 视觉方向</w:t>
      </w:r>
    </w:p>
    <w:p>
      <w:pPr>
        <w:pStyle w:val="Heading1"/>
        <w:keepNext/>
        <w:spacing w:before="0" w:after="200"/>
      </w:pPr>
      <w:r>
        <w:rPr>
          <w:rFonts w:ascii="Noto Sans SC" w:hAnsi="Noto Sans SC" w:eastAsia="Noto Sans SC"/>
          <w:b/>
          <w:i w:val="0"/>
          <w:color w:val="0B0B0D"/>
          <w:sz w:val="44"/>
        </w:rPr>
        <w:t>HSKB V13 Signal 是当前唯一品牌母版</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全体系统一使用方形 H 符号与“博格港湾 / Harbor Stem”双语母标，以 Harbor Paper、Pure White、True Black、Graphite 和 Soft Rule 构成 85—90% 的中性底色，Signal Red #FF4B3E 作为唯一主信号。</w:t>
      </w:r>
    </w:p>
    <w:p>
      <w:pPr>
        <w:pStyle w:val="ListBullet"/>
        <w:spacing w:after="80" w:line="290" w:lineRule="auto"/>
        <w:ind w:left="540" w:hanging="279"/>
      </w:pPr>
      <w:r>
        <w:rPr>
          <w:rFonts w:ascii="Noto Sans SC" w:hAnsi="Noto Sans SC" w:eastAsia="Noto Sans SC"/>
          <w:b w:val="0"/>
          <w:i w:val="0"/>
          <w:color w:val="0B0B0D"/>
          <w:sz w:val="21"/>
        </w:rPr>
        <w:t>政府与正式机构材料：强调编辑秩序、公共责任、事实边界与黑白打印适配。</w:t>
      </w:r>
    </w:p>
    <w:p>
      <w:pPr>
        <w:pStyle w:val="ListBullet"/>
        <w:spacing w:after="80" w:line="290" w:lineRule="auto"/>
        <w:ind w:left="540" w:hanging="279"/>
      </w:pPr>
      <w:r>
        <w:rPr>
          <w:rFonts w:ascii="Noto Sans SC" w:hAnsi="Noto Sans SC" w:eastAsia="Noto Sans SC"/>
          <w:b w:val="0"/>
          <w:i w:val="0"/>
          <w:color w:val="0B0B0D"/>
          <w:sz w:val="21"/>
        </w:rPr>
        <w:t>企业与科技伙伴材料：强调系统、产品、场景和可验证交付，但不引入第二高饱和品牌色。</w:t>
      </w:r>
    </w:p>
    <w:p>
      <w:pPr>
        <w:pStyle w:val="ListBullet"/>
        <w:spacing w:after="80" w:line="290" w:lineRule="auto"/>
        <w:ind w:left="540" w:hanging="279"/>
      </w:pPr>
      <w:r>
        <w:rPr>
          <w:rFonts w:ascii="Noto Sans SC" w:hAnsi="Noto Sans SC" w:eastAsia="Noto Sans SC"/>
          <w:b w:val="0"/>
          <w:i w:val="0"/>
          <w:color w:val="0B0B0D"/>
          <w:sz w:val="21"/>
        </w:rPr>
        <w:t>青年传播材料：通过照片、构图和内容节奏表达活力，不改动母标、不使用多巴胺色替代主品牌。</w:t>
      </w:r>
    </w:p>
    <w:p>
      <w:pPr>
        <w:pStyle w:val="ListBullet"/>
        <w:spacing w:after="80" w:line="290" w:lineRule="auto"/>
        <w:ind w:left="540" w:hanging="279"/>
      </w:pPr>
      <w:r>
        <w:rPr>
          <w:rFonts w:ascii="Noto Sans SC" w:hAnsi="Noto Sans SC" w:eastAsia="Noto Sans SC"/>
          <w:b w:val="0"/>
          <w:i w:val="0"/>
          <w:color w:val="0B0B0D"/>
          <w:sz w:val="21"/>
        </w:rPr>
        <w:t>所有页面采用直角、细线、左对齐与大留白，禁止渐变、阴影、玻璃和旧版概念标志。</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唯一规范</w:t>
            </w:r>
          </w:p>
          <w:p>
            <w:pPr>
              <w:spacing w:after="0" w:line="288" w:lineRule="auto"/>
            </w:pPr>
            <w:r>
              <w:rPr>
                <w:rFonts w:ascii="Noto Sans SC" w:hAnsi="Noto Sans SC" w:eastAsia="Noto Sans SC"/>
                <w:b w:val="0"/>
                <w:i w:val="0"/>
                <w:color w:val="4B4B4F"/>
                <w:sz w:val="19"/>
              </w:rPr>
              <w:t>官网、PPT、Word、PDF、下载包与合作文件全部使用 HSKB V13；旧版 V5/V8/概念 Logo 停用。</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29 / 中心形态</w:t>
      </w:r>
    </w:p>
    <w:p>
      <w:pPr>
        <w:pStyle w:val="Heading1"/>
        <w:keepNext/>
        <w:spacing w:before="0" w:after="200"/>
      </w:pPr>
      <w:r>
        <w:rPr>
          <w:rFonts w:ascii="Noto Sans SC" w:hAnsi="Noto Sans SC" w:eastAsia="Noto Sans SC"/>
          <w:b/>
          <w:i w:val="0"/>
          <w:color w:val="0B0B0D"/>
          <w:sz w:val="44"/>
        </w:rPr>
        <w:t>先做四种可控形态，再讨论大规模复制</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城市示范中心承担综合服务、成果展示和区域协同；学校成长中心聚焦天赋发现、项目课程和长期陪跑；企业主题中心聚焦真实产业课题、工程导师与实验空间；社区轻中心作为城市探索、公益支持和家庭服务入口。</w:t>
      </w:r>
    </w:p>
    <w:p>
      <w:pPr>
        <w:pStyle w:val="ListBullet"/>
        <w:spacing w:after="80" w:line="290" w:lineRule="auto"/>
        <w:ind w:left="540" w:hanging="279"/>
      </w:pPr>
      <w:r>
        <w:rPr>
          <w:rFonts w:ascii="Noto Sans SC" w:hAnsi="Noto Sans SC" w:eastAsia="Noto Sans SC"/>
          <w:b w:val="0"/>
          <w:i w:val="0"/>
          <w:color w:val="0B0B0D"/>
          <w:sz w:val="21"/>
        </w:rPr>
        <w:t>每种形态定义最低场地、安全、人员、课程与数据标准。</w:t>
      </w:r>
    </w:p>
    <w:p>
      <w:pPr>
        <w:pStyle w:val="ListBullet"/>
        <w:spacing w:after="80" w:line="290" w:lineRule="auto"/>
        <w:ind w:left="540" w:hanging="279"/>
      </w:pPr>
      <w:r>
        <w:rPr>
          <w:rFonts w:ascii="Noto Sans SC" w:hAnsi="Noto Sans SC" w:eastAsia="Noto Sans SC"/>
          <w:b w:val="0"/>
          <w:i w:val="0"/>
          <w:color w:val="0B0B0D"/>
          <w:sz w:val="21"/>
        </w:rPr>
        <w:t>先选择资源成熟的区域试点，不按行政区平均铺设。</w:t>
      </w:r>
    </w:p>
    <w:p>
      <w:pPr>
        <w:pStyle w:val="ListBullet"/>
        <w:spacing w:after="80" w:line="290" w:lineRule="auto"/>
        <w:ind w:left="540" w:hanging="279"/>
      </w:pPr>
      <w:r>
        <w:rPr>
          <w:rFonts w:ascii="Noto Sans SC" w:hAnsi="Noto Sans SC" w:eastAsia="Noto Sans SC"/>
          <w:b w:val="0"/>
          <w:i w:val="0"/>
          <w:color w:val="0B0B0D"/>
          <w:sz w:val="21"/>
        </w:rPr>
        <w:t>首版不把“加盟数量”作为核心 KPI。</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扩张原则</w:t>
            </w:r>
          </w:p>
          <w:p>
            <w:pPr>
              <w:spacing w:after="0" w:line="288" w:lineRule="auto"/>
            </w:pPr>
            <w:r>
              <w:rPr>
                <w:rFonts w:ascii="Noto Sans SC" w:hAnsi="Noto Sans SC" w:eastAsia="Noto Sans SC"/>
                <w:b w:val="0"/>
                <w:i w:val="0"/>
                <w:color w:val="4B4B4F"/>
                <w:sz w:val="19"/>
              </w:rPr>
              <w:t>LUMA 等网络经验表明，大学枢纽与区域质量支持比单店加盟更适合教育平台。</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30 / 运营标准</w:t>
      </w:r>
    </w:p>
    <w:p>
      <w:pPr>
        <w:pStyle w:val="Heading1"/>
        <w:keepNext/>
        <w:spacing w:before="0" w:after="200"/>
      </w:pPr>
      <w:r>
        <w:rPr>
          <w:rFonts w:ascii="Noto Sans SC" w:hAnsi="Noto Sans SC" w:eastAsia="Noto Sans SC"/>
          <w:b/>
          <w:i w:val="0"/>
          <w:color w:val="0B0B0D"/>
          <w:sz w:val="44"/>
        </w:rPr>
        <w:t>品牌可以联合，责任不能模糊</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共建流程包括机构意向、主体与场地评估、未成年人保护审查、方案共创、试点运行、质量复盘和长期协议。课程、导师、活动、健康转介、数据和传播均需建立准入与记录。</w:t>
      </w:r>
    </w:p>
    <w:p>
      <w:pPr>
        <w:pStyle w:val="ListBullet"/>
        <w:spacing w:after="80" w:line="290" w:lineRule="auto"/>
        <w:ind w:left="540" w:hanging="279"/>
      </w:pPr>
      <w:r>
        <w:rPr>
          <w:rFonts w:ascii="Noto Sans SC" w:hAnsi="Noto Sans SC" w:eastAsia="Noto Sans SC"/>
          <w:b w:val="0"/>
          <w:i w:val="0"/>
          <w:color w:val="0B0B0D"/>
          <w:sz w:val="21"/>
        </w:rPr>
        <w:t>导师：身份核验、专业能力、儿童保护培训和退出机制。</w:t>
      </w:r>
    </w:p>
    <w:p>
      <w:pPr>
        <w:pStyle w:val="ListBullet"/>
        <w:spacing w:after="80" w:line="290" w:lineRule="auto"/>
        <w:ind w:left="540" w:hanging="279"/>
      </w:pPr>
      <w:r>
        <w:rPr>
          <w:rFonts w:ascii="Noto Sans SC" w:hAnsi="Noto Sans SC" w:eastAsia="Noto Sans SC"/>
          <w:b w:val="0"/>
          <w:i w:val="0"/>
          <w:color w:val="0B0B0D"/>
          <w:sz w:val="21"/>
        </w:rPr>
        <w:t>活动：风险评估、应急预案、保险、监护人与接送安排。</w:t>
      </w:r>
    </w:p>
    <w:p>
      <w:pPr>
        <w:pStyle w:val="ListBullet"/>
        <w:spacing w:after="80" w:line="290" w:lineRule="auto"/>
        <w:ind w:left="540" w:hanging="279"/>
      </w:pPr>
      <w:r>
        <w:rPr>
          <w:rFonts w:ascii="Noto Sans SC" w:hAnsi="Noto Sans SC" w:eastAsia="Noto Sans SC"/>
          <w:b w:val="0"/>
          <w:i w:val="0"/>
          <w:color w:val="0B0B0D"/>
          <w:sz w:val="21"/>
        </w:rPr>
        <w:t>课程：目标、过程证据、外部评价和迭代记录。</w:t>
      </w:r>
    </w:p>
    <w:p>
      <w:pPr>
        <w:pStyle w:val="ListBullet"/>
        <w:spacing w:after="80" w:line="290" w:lineRule="auto"/>
        <w:ind w:left="540" w:hanging="279"/>
      </w:pPr>
      <w:r>
        <w:rPr>
          <w:rFonts w:ascii="Noto Sans SC" w:hAnsi="Noto Sans SC" w:eastAsia="Noto Sans SC"/>
          <w:b w:val="0"/>
          <w:i w:val="0"/>
          <w:color w:val="0B0B0D"/>
          <w:sz w:val="21"/>
        </w:rPr>
        <w:t>传播：授权台账、事实核验和媒体口径。</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试点优先</w:t>
            </w:r>
          </w:p>
          <w:p>
            <w:pPr>
              <w:spacing w:after="0" w:line="288" w:lineRule="auto"/>
            </w:pPr>
            <w:r>
              <w:rPr>
                <w:rFonts w:ascii="Noto Sans SC" w:hAnsi="Noto Sans SC" w:eastAsia="Noto Sans SC"/>
                <w:b w:val="0"/>
                <w:i w:val="0"/>
                <w:color w:val="4B4B4F"/>
                <w:sz w:val="19"/>
              </w:rPr>
              <w:t>先用 90 天验证关键流程，再决定复制与投入。</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31 / 学校落地</w:t>
      </w:r>
    </w:p>
    <w:p>
      <w:pPr>
        <w:pStyle w:val="Heading1"/>
        <w:keepNext/>
        <w:spacing w:before="0" w:after="200"/>
      </w:pPr>
      <w:r>
        <w:rPr>
          <w:rFonts w:ascii="Noto Sans SC" w:hAnsi="Noto Sans SC" w:eastAsia="Noto Sans SC"/>
          <w:b/>
          <w:i w:val="0"/>
          <w:color w:val="0B0B0D"/>
          <w:sz w:val="44"/>
        </w:rPr>
        <w:t>从一个年级或 30—60 名学生启动</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学校试点将天赋发现、AI 学习支持、科创项目、成长档案和教师共备嵌入校历。学校负责学生组织、校内教育、安全与家校沟通；成长中心负责诊断、课程、项目管理、五类导师协同、档案和评估；大学与企业提供适龄真实课题和专业场景。</w:t>
      </w:r>
    </w:p>
    <w:p>
      <w:pPr>
        <w:pStyle w:val="ListBullet"/>
        <w:spacing w:after="80" w:line="290" w:lineRule="auto"/>
        <w:ind w:left="540" w:hanging="279"/>
      </w:pPr>
      <w:r>
        <w:rPr>
          <w:rFonts w:ascii="Noto Sans SC" w:hAnsi="Noto Sans SC" w:eastAsia="Noto Sans SC"/>
          <w:b w:val="0"/>
          <w:i w:val="0"/>
          <w:color w:val="0B0B0D"/>
          <w:sz w:val="21"/>
        </w:rPr>
        <w:t>0—30 天：确定对象、问题、负责人、课表、导师、场地和安全预案。</w:t>
      </w:r>
    </w:p>
    <w:p>
      <w:pPr>
        <w:pStyle w:val="ListBullet"/>
        <w:spacing w:after="80" w:line="290" w:lineRule="auto"/>
        <w:ind w:left="540" w:hanging="279"/>
      </w:pPr>
      <w:r>
        <w:rPr>
          <w:rFonts w:ascii="Noto Sans SC" w:hAnsi="Noto Sans SC" w:eastAsia="Noto Sans SC"/>
          <w:b w:val="0"/>
          <w:i w:val="0"/>
          <w:color w:val="0B0B0D"/>
          <w:sz w:val="21"/>
        </w:rPr>
        <w:t>31—60 天：完成基线、教师共备和首轮 AI 学习/项目任务。</w:t>
      </w:r>
    </w:p>
    <w:p>
      <w:pPr>
        <w:pStyle w:val="ListBullet"/>
        <w:spacing w:after="80" w:line="290" w:lineRule="auto"/>
        <w:ind w:left="540" w:hanging="279"/>
      </w:pPr>
      <w:r>
        <w:rPr>
          <w:rFonts w:ascii="Noto Sans SC" w:hAnsi="Noto Sans SC" w:eastAsia="Noto Sans SC"/>
          <w:b w:val="0"/>
          <w:i w:val="0"/>
          <w:color w:val="0B0B0D"/>
          <w:sz w:val="21"/>
        </w:rPr>
        <w:t>61—90 天：完成原型、展示、学生复盘和学校试点评估。</w:t>
      </w:r>
    </w:p>
    <w:p>
      <w:pPr>
        <w:pStyle w:val="ListBullet"/>
        <w:spacing w:after="80" w:line="290" w:lineRule="auto"/>
        <w:ind w:left="540" w:hanging="279"/>
      </w:pPr>
      <w:r>
        <w:rPr>
          <w:rFonts w:ascii="Noto Sans SC" w:hAnsi="Noto Sans SC" w:eastAsia="Noto Sans SC"/>
          <w:b w:val="0"/>
          <w:i w:val="0"/>
          <w:color w:val="0B0B0D"/>
          <w:sz w:val="21"/>
        </w:rPr>
        <w:t>一个学年：持续项目、教师能力建设、成长档案和年度质量报告。</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学校验收</w:t>
            </w:r>
          </w:p>
          <w:p>
            <w:pPr>
              <w:spacing w:after="0" w:line="288" w:lineRule="auto"/>
            </w:pPr>
            <w:r>
              <w:rPr>
                <w:rFonts w:ascii="Noto Sans SC" w:hAnsi="Noto Sans SC" w:eastAsia="Noto Sans SC"/>
                <w:b w:val="0"/>
                <w:i w:val="0"/>
                <w:color w:val="4B4B4F"/>
                <w:sz w:val="19"/>
              </w:rPr>
              <w:t>学生参与与成长证据、课程复用、教师共备、家校协同和风险闭环同时达标。</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32 / 学生与家庭落地</w:t>
      </w:r>
    </w:p>
    <w:p>
      <w:pPr>
        <w:pStyle w:val="Heading1"/>
        <w:keepNext/>
        <w:spacing w:before="0" w:after="200"/>
      </w:pPr>
      <w:r>
        <w:rPr>
          <w:rFonts w:ascii="Noto Sans SC" w:hAnsi="Noto Sans SC" w:eastAsia="Noto Sans SC"/>
          <w:b/>
          <w:i w:val="0"/>
          <w:color w:val="0B0B0D"/>
          <w:sz w:val="44"/>
        </w:rPr>
        <w:t>一人一案、五类导师、N 个开放场景</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面向学习困难、能力发展不均衡、高潜科技和普通成长学生，由监护人申请并完成首次会谈。平台以动态成长地图连接校内学习、科创项目、身心健康、生活能力和生涯衔接，不以一次测评分层，也不以“天才”标签制造焦虑。</w:t>
      </w:r>
    </w:p>
    <w:p>
      <w:pPr>
        <w:pStyle w:val="ListBullet"/>
        <w:spacing w:after="80" w:line="290" w:lineRule="auto"/>
        <w:ind w:left="540" w:hanging="279"/>
      </w:pPr>
      <w:r>
        <w:rPr>
          <w:rFonts w:ascii="Noto Sans SC" w:hAnsi="Noto Sans SC" w:eastAsia="Noto Sans SC"/>
          <w:b w:val="0"/>
          <w:i w:val="0"/>
          <w:color w:val="0B0B0D"/>
          <w:sz w:val="21"/>
        </w:rPr>
        <w:t>30 天体验：完成一个 AI 学习循环和一个小型真实问题任务。</w:t>
      </w:r>
    </w:p>
    <w:p>
      <w:pPr>
        <w:pStyle w:val="ListBullet"/>
        <w:spacing w:after="80" w:line="290" w:lineRule="auto"/>
        <w:ind w:left="540" w:hanging="279"/>
      </w:pPr>
      <w:r>
        <w:rPr>
          <w:rFonts w:ascii="Noto Sans SC" w:hAnsi="Noto Sans SC" w:eastAsia="Noto Sans SC"/>
          <w:b w:val="0"/>
          <w:i w:val="0"/>
          <w:color w:val="0B0B0D"/>
          <w:sz w:val="21"/>
        </w:rPr>
        <w:t>90 天项目：设定目标、匹配导师与场景，形成作品、研究或工程原型。</w:t>
      </w:r>
    </w:p>
    <w:p>
      <w:pPr>
        <w:pStyle w:val="ListBullet"/>
        <w:spacing w:after="80" w:line="290" w:lineRule="auto"/>
        <w:ind w:left="540" w:hanging="279"/>
      </w:pPr>
      <w:r>
        <w:rPr>
          <w:rFonts w:ascii="Noto Sans SC" w:hAnsi="Noto Sans SC" w:eastAsia="Noto Sans SC"/>
          <w:b w:val="0"/>
          <w:i w:val="0"/>
          <w:color w:val="0B0B0D"/>
          <w:sz w:val="21"/>
        </w:rPr>
        <w:t>学年路线：根据成长证据决定长期培养、学校衔接、专业转介或其他支持。</w:t>
      </w:r>
    </w:p>
    <w:p>
      <w:pPr>
        <w:pStyle w:val="ListBullet"/>
        <w:spacing w:after="80" w:line="290" w:lineRule="auto"/>
        <w:ind w:left="540" w:hanging="279"/>
      </w:pPr>
      <w:r>
        <w:rPr>
          <w:rFonts w:ascii="Noto Sans SC" w:hAnsi="Noto Sans SC" w:eastAsia="Noto Sans SC"/>
          <w:b w:val="0"/>
          <w:i w:val="0"/>
          <w:color w:val="0B0B0D"/>
          <w:sz w:val="21"/>
        </w:rPr>
        <w:t>全程不承诺保录、获奖、专利或确定性结果。</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家庭交付</w:t>
            </w:r>
          </w:p>
          <w:p>
            <w:pPr>
              <w:spacing w:after="0" w:line="288" w:lineRule="auto"/>
            </w:pPr>
            <w:r>
              <w:rPr>
                <w:rFonts w:ascii="Noto Sans SC" w:hAnsi="Noto Sans SC" w:eastAsia="Noto Sans SC"/>
                <w:b w:val="0"/>
                <w:i w:val="0"/>
                <w:color w:val="4B4B4F"/>
                <w:sz w:val="19"/>
              </w:rPr>
              <w:t>动态成长地图、学习与项目档案、90 天成果包和学年发展建议。</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33 / 政府与协会落地</w:t>
      </w:r>
    </w:p>
    <w:p>
      <w:pPr>
        <w:pStyle w:val="Heading1"/>
        <w:keepNext/>
        <w:spacing w:before="0" w:after="200"/>
      </w:pPr>
      <w:r>
        <w:rPr>
          <w:rFonts w:ascii="Noto Sans SC" w:hAnsi="Noto Sans SC" w:eastAsia="Noto Sans SC"/>
          <w:b/>
          <w:i w:val="0"/>
          <w:color w:val="0B0B0D"/>
          <w:sz w:val="44"/>
        </w:rPr>
        <w:t>一个片区或一个主题，形成区域示范</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政府与协会项目先建立联席治理和公共价值目标，再盘点学校、公共空间、企业课题、大学导师、专业转介和公益资源。建议从 AI 学习支持、城市科技挑战、天赋发现或企业工程项目中选择一个主轴，完成 90 天示范后再决定扩面。</w:t>
      </w:r>
    </w:p>
    <w:p>
      <w:pPr>
        <w:pStyle w:val="ListBullet"/>
        <w:spacing w:after="80" w:line="290" w:lineRule="auto"/>
        <w:ind w:left="540" w:hanging="279"/>
      </w:pPr>
      <w:r>
        <w:rPr>
          <w:rFonts w:ascii="Noto Sans SC" w:hAnsi="Noto Sans SC" w:eastAsia="Noto Sans SC"/>
          <w:b w:val="0"/>
          <w:i w:val="0"/>
          <w:color w:val="0B0B0D"/>
          <w:sz w:val="21"/>
        </w:rPr>
        <w:t>治理：明确牵头、参与、运营、监督、数据与安全责任。</w:t>
      </w:r>
    </w:p>
    <w:p>
      <w:pPr>
        <w:pStyle w:val="ListBullet"/>
        <w:spacing w:after="80" w:line="290" w:lineRule="auto"/>
        <w:ind w:left="540" w:hanging="279"/>
      </w:pPr>
      <w:r>
        <w:rPr>
          <w:rFonts w:ascii="Noto Sans SC" w:hAnsi="Noto Sans SC" w:eastAsia="Noto Sans SC"/>
          <w:b w:val="0"/>
          <w:i w:val="0"/>
          <w:color w:val="0B0B0D"/>
          <w:sz w:val="21"/>
        </w:rPr>
        <w:t>资源：形成区域资源图谱、项目清单与准入台账。</w:t>
      </w:r>
    </w:p>
    <w:p>
      <w:pPr>
        <w:pStyle w:val="ListBullet"/>
        <w:spacing w:after="80" w:line="290" w:lineRule="auto"/>
        <w:ind w:left="540" w:hanging="279"/>
      </w:pPr>
      <w:r>
        <w:rPr>
          <w:rFonts w:ascii="Noto Sans SC" w:hAnsi="Noto Sans SC" w:eastAsia="Noto Sans SC"/>
          <w:b w:val="0"/>
          <w:i w:val="0"/>
          <w:color w:val="0B0B0D"/>
          <w:sz w:val="21"/>
        </w:rPr>
        <w:t>试点：公开招募、基线、课程项目、成长记录、成果日和风险复盘。</w:t>
      </w:r>
    </w:p>
    <w:p>
      <w:pPr>
        <w:pStyle w:val="ListBullet"/>
        <w:spacing w:after="80" w:line="290" w:lineRule="auto"/>
        <w:ind w:left="540" w:hanging="279"/>
      </w:pPr>
      <w:r>
        <w:rPr>
          <w:rFonts w:ascii="Noto Sans SC" w:hAnsi="Noto Sans SC" w:eastAsia="Noto Sans SC"/>
          <w:b w:val="0"/>
          <w:i w:val="0"/>
          <w:color w:val="0B0B0D"/>
          <w:sz w:val="21"/>
        </w:rPr>
        <w:t>评估：覆盖公平、成长证据、协同效率、合规安全、成本与可复制性。</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公共交付</w:t>
            </w:r>
          </w:p>
          <w:p>
            <w:pPr>
              <w:spacing w:after="0" w:line="288" w:lineRule="auto"/>
            </w:pPr>
            <w:r>
              <w:rPr>
                <w:rFonts w:ascii="Noto Sans SC" w:hAnsi="Noto Sans SC" w:eastAsia="Noto Sans SC"/>
                <w:b w:val="0"/>
                <w:i w:val="0"/>
                <w:color w:val="4B4B4F"/>
                <w:sz w:val="19"/>
              </w:rPr>
              <w:t>区域治理方案、资源图谱、示范项目运营包和 90 天公共价值报告。</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34 / 科技企业落地</w:t>
      </w:r>
    </w:p>
    <w:p>
      <w:pPr>
        <w:pStyle w:val="Heading1"/>
        <w:keepNext/>
        <w:spacing w:before="0" w:after="200"/>
      </w:pPr>
      <w:r>
        <w:rPr>
          <w:rFonts w:ascii="Noto Sans SC" w:hAnsi="Noto Sans SC" w:eastAsia="Noto Sans SC"/>
          <w:b/>
          <w:i w:val="0"/>
          <w:color w:val="0B0B0D"/>
          <w:sz w:val="44"/>
        </w:rPr>
        <w:t>把真实工程世界转化为青少年项目</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企业提供经过脱敏和适龄处理的真实课题、工程导师、场景、设备或专业评价；成长中心完成教育转译、项目管理、导师规范、儿童保护、成长档案和成效评估；学校负责学生组织与校内衔接。</w:t>
      </w:r>
    </w:p>
    <w:p>
      <w:pPr>
        <w:pStyle w:val="ListBullet"/>
        <w:spacing w:after="80" w:line="290" w:lineRule="auto"/>
        <w:ind w:left="540" w:hanging="279"/>
      </w:pPr>
      <w:r>
        <w:rPr>
          <w:rFonts w:ascii="Noto Sans SC" w:hAnsi="Noto Sans SC" w:eastAsia="Noto Sans SC"/>
          <w:b w:val="0"/>
          <w:i w:val="0"/>
          <w:color w:val="0B0B0D"/>
          <w:sz w:val="21"/>
        </w:rPr>
        <w:t>课题筛选：去除商业秘密、不适龄内容和不可控安全风险。</w:t>
      </w:r>
    </w:p>
    <w:p>
      <w:pPr>
        <w:pStyle w:val="ListBullet"/>
        <w:spacing w:after="80" w:line="290" w:lineRule="auto"/>
        <w:ind w:left="540" w:hanging="279"/>
      </w:pPr>
      <w:r>
        <w:rPr>
          <w:rFonts w:ascii="Noto Sans SC" w:hAnsi="Noto Sans SC" w:eastAsia="Noto Sans SC"/>
          <w:b w:val="0"/>
          <w:i w:val="0"/>
          <w:color w:val="0B0B0D"/>
          <w:sz w:val="21"/>
        </w:rPr>
        <w:t>教育转译：形成 8—12 周任务书、学习目标、材料设备、评价和应急预案。</w:t>
      </w:r>
    </w:p>
    <w:p>
      <w:pPr>
        <w:pStyle w:val="ListBullet"/>
        <w:spacing w:after="80" w:line="290" w:lineRule="auto"/>
        <w:ind w:left="540" w:hanging="279"/>
      </w:pPr>
      <w:r>
        <w:rPr>
          <w:rFonts w:ascii="Noto Sans SC" w:hAnsi="Noto Sans SC" w:eastAsia="Noto Sans SC"/>
          <w:b w:val="0"/>
          <w:i w:val="0"/>
          <w:color w:val="0B0B0D"/>
          <w:sz w:val="21"/>
        </w:rPr>
        <w:t>导师节点：启动、阶段评审、最终评审及未成年人沟通规范。</w:t>
      </w:r>
    </w:p>
    <w:p>
      <w:pPr>
        <w:pStyle w:val="ListBullet"/>
        <w:spacing w:after="80" w:line="290" w:lineRule="auto"/>
        <w:ind w:left="540" w:hanging="279"/>
      </w:pPr>
      <w:r>
        <w:rPr>
          <w:rFonts w:ascii="Noto Sans SC" w:hAnsi="Noto Sans SC" w:eastAsia="Noto Sans SC"/>
          <w:b w:val="0"/>
          <w:i w:val="0"/>
          <w:color w:val="0B0B0D"/>
          <w:sz w:val="21"/>
        </w:rPr>
        <w:t>成果边界：知识产权、保密、肖像、传播和后续孵化均按书面协议执行。</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企业交付</w:t>
            </w:r>
          </w:p>
          <w:p>
            <w:pPr>
              <w:spacing w:after="0" w:line="288" w:lineRule="auto"/>
            </w:pPr>
            <w:r>
              <w:rPr>
                <w:rFonts w:ascii="Noto Sans SC" w:hAnsi="Noto Sans SC" w:eastAsia="Noto Sans SC"/>
                <w:b w:val="0"/>
                <w:i w:val="0"/>
                <w:color w:val="4B4B4F"/>
                <w:sz w:val="19"/>
              </w:rPr>
              <w:t>青少年课题库、项目课程与导师手册、学生成果档案和企业社会价值报告。</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35 / 可持续模式</w:t>
      </w:r>
    </w:p>
    <w:p>
      <w:pPr>
        <w:pStyle w:val="Heading1"/>
        <w:keepNext/>
        <w:spacing w:before="0" w:after="200"/>
      </w:pPr>
      <w:r>
        <w:rPr>
          <w:rFonts w:ascii="Noto Sans SC" w:hAnsi="Noto Sans SC" w:eastAsia="Noto Sans SC"/>
          <w:b/>
          <w:i w:val="0"/>
          <w:color w:val="0B0B0D"/>
          <w:sz w:val="44"/>
        </w:rPr>
        <w:t>公共价值、企业共建、家庭服务与公益支持形成组合</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政府与协会项目形成公共服务和区域示范；学校与企业共建形成课程、人才发现和真实场景服务；高净值家庭定制计划支持长期陪跑和平台专业能力；基金与公益资源保证机会公平，并支持学习困难、特殊需要和高潜但资源不足的学生。</w:t>
      </w:r>
    </w:p>
    <w:p>
      <w:pPr>
        <w:pStyle w:val="ListBullet"/>
        <w:spacing w:after="80" w:line="290" w:lineRule="auto"/>
        <w:ind w:left="540" w:hanging="279"/>
      </w:pPr>
      <w:r>
        <w:rPr>
          <w:rFonts w:ascii="Noto Sans SC" w:hAnsi="Noto Sans SC" w:eastAsia="Noto Sans SC"/>
          <w:b w:val="0"/>
          <w:i w:val="0"/>
          <w:color w:val="0B0B0D"/>
          <w:sz w:val="21"/>
        </w:rPr>
        <w:t>收入结构不能导致测评结果与高价服务绑定。</w:t>
      </w:r>
    </w:p>
    <w:p>
      <w:pPr>
        <w:pStyle w:val="ListBullet"/>
        <w:spacing w:after="80" w:line="290" w:lineRule="auto"/>
        <w:ind w:left="540" w:hanging="279"/>
      </w:pPr>
      <w:r>
        <w:rPr>
          <w:rFonts w:ascii="Noto Sans SC" w:hAnsi="Noto Sans SC" w:eastAsia="Noto Sans SC"/>
          <w:b w:val="0"/>
          <w:i w:val="0"/>
          <w:color w:val="0B0B0D"/>
          <w:sz w:val="21"/>
        </w:rPr>
        <w:t>公益名额有公开标准、独立评审和影响评估。</w:t>
      </w:r>
    </w:p>
    <w:p>
      <w:pPr>
        <w:pStyle w:val="ListBullet"/>
        <w:spacing w:after="80" w:line="290" w:lineRule="auto"/>
        <w:ind w:left="540" w:hanging="279"/>
      </w:pPr>
      <w:r>
        <w:rPr>
          <w:rFonts w:ascii="Noto Sans SC" w:hAnsi="Noto Sans SC" w:eastAsia="Noto Sans SC"/>
          <w:b w:val="0"/>
          <w:i w:val="0"/>
          <w:color w:val="0B0B0D"/>
          <w:sz w:val="21"/>
        </w:rPr>
        <w:t>企业冠名不能影响教育判断和学生数据权益。</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阶段策略</w:t>
            </w:r>
          </w:p>
          <w:p>
            <w:pPr>
              <w:spacing w:after="0" w:line="288" w:lineRule="auto"/>
            </w:pPr>
            <w:r>
              <w:rPr>
                <w:rFonts w:ascii="Noto Sans SC" w:hAnsi="Noto Sans SC" w:eastAsia="Noto Sans SC"/>
                <w:b w:val="0"/>
                <w:i w:val="0"/>
                <w:color w:val="4B4B4F"/>
                <w:sz w:val="19"/>
              </w:rPr>
              <w:t>第一阶段以试点项目和共建服务为主；标准成熟后再发展授权、培训和督导网络。</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36 / 影响评估</w:t>
      </w:r>
    </w:p>
    <w:p>
      <w:pPr>
        <w:pStyle w:val="Heading1"/>
        <w:keepNext/>
        <w:spacing w:before="0" w:after="200"/>
      </w:pPr>
      <w:r>
        <w:rPr>
          <w:rFonts w:ascii="Noto Sans SC" w:hAnsi="Noto Sans SC" w:eastAsia="Noto Sans SC"/>
          <w:b/>
          <w:i w:val="0"/>
          <w:color w:val="0B0B0D"/>
          <w:sz w:val="44"/>
        </w:rPr>
        <w:t>用可验证证据回答中心是否真正有用</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影响评价同时关注机会公平、学习改善、创新实践、全人发展、未来衔接和平台协同。数据既包含量化指标，也包括作品、观察、访谈和反思；不使用单一“提分率”代表全部价值。</w:t>
      </w:r>
    </w:p>
    <w:p>
      <w:pPr>
        <w:pStyle w:val="ListBullet"/>
        <w:spacing w:after="80" w:line="290" w:lineRule="auto"/>
        <w:ind w:left="540" w:hanging="279"/>
      </w:pPr>
      <w:r>
        <w:rPr>
          <w:rFonts w:ascii="Noto Sans SC" w:hAnsi="Noto Sans SC" w:eastAsia="Noto Sans SC"/>
          <w:b w:val="0"/>
          <w:i w:val="0"/>
          <w:color w:val="0B0B0D"/>
          <w:sz w:val="21"/>
        </w:rPr>
        <w:t>机会公平：奖助覆盖、不同群体参与和持续率。</w:t>
      </w:r>
    </w:p>
    <w:p>
      <w:pPr>
        <w:pStyle w:val="ListBullet"/>
        <w:spacing w:after="80" w:line="290" w:lineRule="auto"/>
        <w:ind w:left="540" w:hanging="279"/>
      </w:pPr>
      <w:r>
        <w:rPr>
          <w:rFonts w:ascii="Noto Sans SC" w:hAnsi="Noto Sans SC" w:eastAsia="Noto Sans SC"/>
          <w:b w:val="0"/>
          <w:i w:val="0"/>
          <w:color w:val="0B0B0D"/>
          <w:sz w:val="21"/>
        </w:rPr>
        <w:t>学习改善：目标完成、策略使用和学校适应。</w:t>
      </w:r>
    </w:p>
    <w:p>
      <w:pPr>
        <w:pStyle w:val="ListBullet"/>
        <w:spacing w:after="80" w:line="290" w:lineRule="auto"/>
        <w:ind w:left="540" w:hanging="279"/>
      </w:pPr>
      <w:r>
        <w:rPr>
          <w:rFonts w:ascii="Noto Sans SC" w:hAnsi="Noto Sans SC" w:eastAsia="Noto Sans SC"/>
          <w:b w:val="0"/>
          <w:i w:val="0"/>
          <w:color w:val="0B0B0D"/>
          <w:sz w:val="21"/>
        </w:rPr>
        <w:t>创新实践：项目质量、迭代次数和外部反馈。</w:t>
      </w:r>
    </w:p>
    <w:p>
      <w:pPr>
        <w:pStyle w:val="ListBullet"/>
        <w:spacing w:after="80" w:line="290" w:lineRule="auto"/>
        <w:ind w:left="540" w:hanging="279"/>
      </w:pPr>
      <w:r>
        <w:rPr>
          <w:rFonts w:ascii="Noto Sans SC" w:hAnsi="Noto Sans SC" w:eastAsia="Noto Sans SC"/>
          <w:b w:val="0"/>
          <w:i w:val="0"/>
          <w:color w:val="0B0B0D"/>
          <w:sz w:val="21"/>
        </w:rPr>
        <w:t>全人发展：自我管理、关系、生活与健康支持。</w:t>
      </w:r>
    </w:p>
    <w:p>
      <w:pPr>
        <w:pStyle w:val="ListBullet"/>
        <w:spacing w:after="80" w:line="290" w:lineRule="auto"/>
        <w:ind w:left="540" w:hanging="279"/>
      </w:pPr>
      <w:r>
        <w:rPr>
          <w:rFonts w:ascii="Noto Sans SC" w:hAnsi="Noto Sans SC" w:eastAsia="Noto Sans SC"/>
          <w:b w:val="0"/>
          <w:i w:val="0"/>
          <w:color w:val="0B0B0D"/>
          <w:sz w:val="21"/>
        </w:rPr>
        <w:t>未来衔接：导师、课程升级和发展路径。</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年度成果</w:t>
            </w:r>
          </w:p>
          <w:p>
            <w:pPr>
              <w:spacing w:after="0" w:line="288" w:lineRule="auto"/>
            </w:pPr>
            <w:r>
              <w:rPr>
                <w:rFonts w:ascii="Noto Sans SC" w:hAnsi="Noto Sans SC" w:eastAsia="Noto Sans SC"/>
                <w:b w:val="0"/>
                <w:i w:val="0"/>
                <w:color w:val="4B4B4F"/>
                <w:sz w:val="19"/>
              </w:rPr>
              <w:t>形成学生成长报告、中心质量报告和城市青少年创新影响报告。</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37 / 三年路线图</w:t>
      </w:r>
    </w:p>
    <w:p>
      <w:pPr>
        <w:pStyle w:val="Heading1"/>
        <w:keepNext/>
        <w:spacing w:before="0" w:after="200"/>
      </w:pPr>
      <w:r>
        <w:rPr>
          <w:rFonts w:ascii="Noto Sans SC" w:hAnsi="Noto Sans SC" w:eastAsia="Noto Sans SC"/>
          <w:b/>
          <w:i w:val="0"/>
          <w:color w:val="0B0B0D"/>
          <w:sz w:val="44"/>
        </w:rPr>
        <w:t>从试点中心到大湾区成长网络</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2026 年完成品牌、网站、测评入口和首个 90 天试点；2027 年建立深港与松山湖协同，形成 3—5 个标准中心；2028 年构建大学—企业—学校网络和初步人才库；2029 年向大湾区复制并探索亚太青年项目合作。</w:t>
      </w:r>
    </w:p>
    <w:p>
      <w:pPr>
        <w:pStyle w:val="ListBullet"/>
        <w:spacing w:after="80" w:line="290" w:lineRule="auto"/>
        <w:ind w:left="540" w:hanging="279"/>
      </w:pPr>
      <w:r>
        <w:rPr>
          <w:rFonts w:ascii="Noto Sans SC" w:hAnsi="Noto Sans SC" w:eastAsia="Noto Sans SC"/>
          <w:b w:val="0"/>
          <w:i w:val="0"/>
          <w:color w:val="0B0B0D"/>
          <w:sz w:val="21"/>
        </w:rPr>
        <w:t>前 15 天：发起方、顾问、品牌和项目书定稿。</w:t>
      </w:r>
    </w:p>
    <w:p>
      <w:pPr>
        <w:pStyle w:val="ListBullet"/>
        <w:spacing w:after="80" w:line="290" w:lineRule="auto"/>
        <w:ind w:left="540" w:hanging="279"/>
      </w:pPr>
      <w:r>
        <w:rPr>
          <w:rFonts w:ascii="Noto Sans SC" w:hAnsi="Noto Sans SC" w:eastAsia="Noto Sans SC"/>
          <w:b w:val="0"/>
          <w:i w:val="0"/>
          <w:color w:val="0B0B0D"/>
          <w:sz w:val="21"/>
        </w:rPr>
        <w:t>16—30 天：首个区域或学校需求与资源评估。</w:t>
      </w:r>
    </w:p>
    <w:p>
      <w:pPr>
        <w:pStyle w:val="ListBullet"/>
        <w:spacing w:after="80" w:line="290" w:lineRule="auto"/>
        <w:ind w:left="540" w:hanging="279"/>
      </w:pPr>
      <w:r>
        <w:rPr>
          <w:rFonts w:ascii="Noto Sans SC" w:hAnsi="Noto Sans SC" w:eastAsia="Noto Sans SC"/>
          <w:b w:val="0"/>
          <w:i w:val="0"/>
          <w:color w:val="0B0B0D"/>
          <w:sz w:val="21"/>
        </w:rPr>
        <w:t>31—60 天：首批课程、导师和测评入口上线。</w:t>
      </w:r>
    </w:p>
    <w:p>
      <w:pPr>
        <w:pStyle w:val="ListBullet"/>
        <w:spacing w:after="80" w:line="290" w:lineRule="auto"/>
        <w:ind w:left="540" w:hanging="279"/>
      </w:pPr>
      <w:r>
        <w:rPr>
          <w:rFonts w:ascii="Noto Sans SC" w:hAnsi="Noto Sans SC" w:eastAsia="Noto Sans SC"/>
          <w:b w:val="0"/>
          <w:i w:val="0"/>
          <w:color w:val="0B0B0D"/>
          <w:sz w:val="21"/>
        </w:rPr>
        <w:t>61—90 天：试运行、成果展示、质量复盘。</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扩张闸门</w:t>
            </w:r>
          </w:p>
          <w:p>
            <w:pPr>
              <w:spacing w:after="0" w:line="288" w:lineRule="auto"/>
            </w:pPr>
            <w:r>
              <w:rPr>
                <w:rFonts w:ascii="Noto Sans SC" w:hAnsi="Noto Sans SC" w:eastAsia="Noto Sans SC"/>
                <w:b w:val="0"/>
                <w:i w:val="0"/>
                <w:color w:val="4B4B4F"/>
                <w:sz w:val="19"/>
              </w:rPr>
              <w:t>只有在儿童保护、课程质量、导师管理和数据合规通过评估后才能复制。</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38 / 风险清单</w:t>
      </w:r>
    </w:p>
    <w:p>
      <w:pPr>
        <w:pStyle w:val="Heading1"/>
        <w:keepNext/>
        <w:spacing w:before="0" w:after="200"/>
      </w:pPr>
      <w:r>
        <w:rPr>
          <w:rFonts w:ascii="Noto Sans SC" w:hAnsi="Noto Sans SC" w:eastAsia="Noto Sans SC"/>
          <w:b/>
          <w:i w:val="0"/>
          <w:color w:val="0B0B0D"/>
          <w:sz w:val="44"/>
        </w:rPr>
        <w:t>六类风险必须在公开发布和试点前建立台账</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项目的主要风险包括合作真实性、未成年人保护、广告与升学表述、品牌商标、教育与健康边界以及扩张质量。每项风险需要责任人、触发条件、预防措施、应急流程和复盘机制。</w:t>
      </w:r>
    </w:p>
    <w:p>
      <w:pPr>
        <w:pStyle w:val="ListBullet"/>
        <w:spacing w:after="80" w:line="290" w:lineRule="auto"/>
        <w:ind w:left="540" w:hanging="279"/>
      </w:pPr>
      <w:r>
        <w:rPr>
          <w:rFonts w:ascii="Noto Sans SC" w:hAnsi="Noto Sans SC" w:eastAsia="Noto Sans SC"/>
          <w:b w:val="0"/>
          <w:i w:val="0"/>
          <w:color w:val="0B0B0D"/>
          <w:sz w:val="21"/>
        </w:rPr>
        <w:t>合作：拟合作与已签约严格分层。</w:t>
      </w:r>
    </w:p>
    <w:p>
      <w:pPr>
        <w:pStyle w:val="ListBullet"/>
        <w:spacing w:after="80" w:line="290" w:lineRule="auto"/>
        <w:ind w:left="540" w:hanging="279"/>
      </w:pPr>
      <w:r>
        <w:rPr>
          <w:rFonts w:ascii="Noto Sans SC" w:hAnsi="Noto Sans SC" w:eastAsia="Noto Sans SC"/>
          <w:b w:val="0"/>
          <w:i w:val="0"/>
          <w:color w:val="0B0B0D"/>
          <w:sz w:val="21"/>
        </w:rPr>
        <w:t>隐私：授权、最少必要、访问控制和事件响应。</w:t>
      </w:r>
    </w:p>
    <w:p>
      <w:pPr>
        <w:pStyle w:val="ListBullet"/>
        <w:spacing w:after="80" w:line="290" w:lineRule="auto"/>
        <w:ind w:left="540" w:hanging="279"/>
      </w:pPr>
      <w:r>
        <w:rPr>
          <w:rFonts w:ascii="Noto Sans SC" w:hAnsi="Noto Sans SC" w:eastAsia="Noto Sans SC"/>
          <w:b w:val="0"/>
          <w:i w:val="0"/>
          <w:color w:val="0B0B0D"/>
          <w:sz w:val="21"/>
        </w:rPr>
        <w:t>传播：不保录、不造神、不滥用名校和政府背书。</w:t>
      </w:r>
    </w:p>
    <w:p>
      <w:pPr>
        <w:pStyle w:val="ListBullet"/>
        <w:spacing w:after="80" w:line="290" w:lineRule="auto"/>
        <w:ind w:left="540" w:hanging="279"/>
      </w:pPr>
      <w:r>
        <w:rPr>
          <w:rFonts w:ascii="Noto Sans SC" w:hAnsi="Noto Sans SC" w:eastAsia="Noto Sans SC"/>
          <w:b w:val="0"/>
          <w:i w:val="0"/>
          <w:color w:val="0B0B0D"/>
          <w:sz w:val="21"/>
        </w:rPr>
        <w:t>商标：名称、域名、公众号和联合冠名同步检索。</w:t>
      </w:r>
    </w:p>
    <w:p>
      <w:pPr>
        <w:pStyle w:val="ListBullet"/>
        <w:spacing w:after="80" w:line="290" w:lineRule="auto"/>
        <w:ind w:left="540" w:hanging="279"/>
      </w:pPr>
      <w:r>
        <w:rPr>
          <w:rFonts w:ascii="Noto Sans SC" w:hAnsi="Noto Sans SC" w:eastAsia="Noto Sans SC"/>
          <w:b w:val="0"/>
          <w:i w:val="0"/>
          <w:color w:val="0B0B0D"/>
          <w:sz w:val="21"/>
        </w:rPr>
        <w:t>健康：AI 辅助、教育观察、持证机构转介。</w:t>
      </w:r>
    </w:p>
    <w:p>
      <w:pPr>
        <w:pStyle w:val="ListBullet"/>
        <w:spacing w:after="80" w:line="290" w:lineRule="auto"/>
        <w:ind w:left="540" w:hanging="279"/>
      </w:pPr>
      <w:r>
        <w:rPr>
          <w:rFonts w:ascii="Noto Sans SC" w:hAnsi="Noto Sans SC" w:eastAsia="Noto Sans SC"/>
          <w:b w:val="0"/>
          <w:i w:val="0"/>
          <w:color w:val="0B0B0D"/>
          <w:sz w:val="21"/>
        </w:rPr>
        <w:t>扩张：以质量和影响证据作为唯一闸门。</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当前最高优先级</w:t>
            </w:r>
          </w:p>
          <w:p>
            <w:pPr>
              <w:spacing w:after="0" w:line="288" w:lineRule="auto"/>
            </w:pPr>
            <w:r>
              <w:rPr>
                <w:rFonts w:ascii="Noto Sans SC" w:hAnsi="Noto Sans SC" w:eastAsia="Noto Sans SC"/>
                <w:b w:val="0"/>
                <w:i w:val="0"/>
                <w:color w:val="4B4B4F"/>
                <w:sz w:val="19"/>
              </w:rPr>
              <w:t>先确认发起方、顾问、媒体、联系人和首个场地的授权与责任。</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p>
      <w:r>
        <w:br w:type="page"/>
      </w:r>
    </w:p>
    <w:p>
      <w:pPr>
        <w:spacing w:before="0" w:after="100"/>
      </w:pPr>
      <w:r>
        <w:rPr>
          <w:rFonts w:ascii="Noto Sans SC" w:hAnsi="Noto Sans SC" w:eastAsia="Noto Sans SC"/>
          <w:b/>
          <w:i w:val="0"/>
          <w:color w:val="FF4B3E"/>
          <w:sz w:val="17"/>
        </w:rPr>
        <w:t>39 / 下一步决策</w:t>
      </w:r>
    </w:p>
    <w:p>
      <w:pPr>
        <w:pStyle w:val="Heading1"/>
        <w:keepNext/>
        <w:spacing w:before="0" w:after="200"/>
      </w:pPr>
      <w:r>
        <w:rPr>
          <w:rFonts w:ascii="Noto Sans SC" w:hAnsi="Noto Sans SC" w:eastAsia="Noto Sans SC"/>
          <w:b/>
          <w:i w:val="0"/>
          <w:color w:val="0B0B0D"/>
          <w:sz w:val="44"/>
        </w:rPr>
        <w:t>六项决策决定首个试点能否启动</w:t>
      </w:r>
    </w:p>
    <w:tbl>
      <w:tblPr>
        <w:tblW w:type="dxa" w:w="9520"/>
        <w:jc w:val="center"/>
        <w:tblLook w:firstColumn="1" w:firstRow="1" w:lastColumn="0" w:lastRow="0" w:noHBand="0" w:noVBand="1" w:val="04A0"/>
        <w:tblLayout w:type="fixed"/>
        <w:tblInd w:w="0" w:type="dxa"/>
      </w:tblPr>
      <w:tblGrid>
        <w:gridCol w:w="1100"/>
        <w:gridCol w:w="8420"/>
      </w:tblGrid>
      <w:tr>
        <w:tc>
          <w:tcPr>
            <w:tcW w:type="dxa" w:w="1100"/>
            <w:tcMar>
              <w:top w:w="100" w:type="dxa"/>
              <w:start w:w="140" w:type="dxa"/>
              <w:bottom w:w="100" w:type="dxa"/>
              <w:end w:w="140" w:type="dxa"/>
            </w:tcMar>
            <w:shd w:fill="FF4B3E"/>
          </w:tcPr>
          <w:p>
            <w:pPr>
              <w:spacing w:after="0"/>
            </w:pPr>
          </w:p>
        </w:tc>
        <w:tc>
          <w:tcPr>
            <w:tcW w:type="dxa" w:w="8420"/>
            <w:tcMar>
              <w:top w:w="100" w:type="dxa"/>
              <w:start w:w="140" w:type="dxa"/>
              <w:bottom w:w="100" w:type="dxa"/>
              <w:end w:w="140" w:type="dxa"/>
            </w:tcMar>
            <w:shd w:fill="D6D3CC"/>
          </w:tcPr>
          <w:p>
            <w:pPr>
              <w:spacing w:after="0"/>
            </w:pPr>
          </w:p>
        </w:tc>
      </w:tr>
    </w:tbl>
    <w:p>
      <w:pPr>
        <w:spacing w:after="80"/>
      </w:pPr>
    </w:p>
    <w:p>
      <w:pPr>
        <w:spacing w:after="160" w:line="320" w:lineRule="auto"/>
        <w:jc w:val="left"/>
      </w:pPr>
      <w:r>
        <w:rPr>
          <w:rFonts w:ascii="Noto Sans SC" w:hAnsi="Noto Sans SC" w:eastAsia="Noto Sans SC"/>
          <w:b w:val="0"/>
          <w:i w:val="0"/>
          <w:color w:val="0B0B0D"/>
          <w:sz w:val="21"/>
        </w:rPr>
        <w:t>项目已具备完整初版叙事、品牌方向、网站架构、项目材料和全球研究底稿。接下来需要项目方完成正式组织与资源决策。</w:t>
      </w:r>
    </w:p>
    <w:p>
      <w:pPr>
        <w:pStyle w:val="ListBullet"/>
        <w:spacing w:after="80" w:line="290" w:lineRule="auto"/>
        <w:ind w:left="540" w:hanging="279"/>
      </w:pPr>
      <w:r>
        <w:rPr>
          <w:rFonts w:ascii="Noto Sans SC" w:hAnsi="Noto Sans SC" w:eastAsia="Noto Sans SC"/>
          <w:b w:val="0"/>
          <w:i w:val="0"/>
          <w:color w:val="0B0B0D"/>
          <w:sz w:val="21"/>
        </w:rPr>
        <w:t>确认三方发起意向、法律主体与签约路径。</w:t>
      </w:r>
    </w:p>
    <w:p>
      <w:pPr>
        <w:pStyle w:val="ListBullet"/>
        <w:spacing w:after="80" w:line="290" w:lineRule="auto"/>
        <w:ind w:left="540" w:hanging="279"/>
      </w:pPr>
      <w:r>
        <w:rPr>
          <w:rFonts w:ascii="Noto Sans SC" w:hAnsi="Noto Sans SC" w:eastAsia="Noto Sans SC"/>
          <w:b w:val="0"/>
          <w:i w:val="0"/>
          <w:color w:val="0B0B0D"/>
          <w:sz w:val="21"/>
        </w:rPr>
        <w:t>确认顾问、媒体、人物肖像和对外头衔。</w:t>
      </w:r>
    </w:p>
    <w:p>
      <w:pPr>
        <w:pStyle w:val="ListBullet"/>
        <w:spacing w:after="80" w:line="290" w:lineRule="auto"/>
        <w:ind w:left="540" w:hanging="279"/>
      </w:pPr>
      <w:r>
        <w:rPr>
          <w:rFonts w:ascii="Noto Sans SC" w:hAnsi="Noto Sans SC" w:eastAsia="Noto Sans SC"/>
          <w:b w:val="0"/>
          <w:i w:val="0"/>
          <w:color w:val="0B0B0D"/>
          <w:sz w:val="21"/>
        </w:rPr>
        <w:t>选定 VI 主方向与中英文标准名称。</w:t>
      </w:r>
    </w:p>
    <w:p>
      <w:pPr>
        <w:pStyle w:val="ListBullet"/>
        <w:spacing w:after="80" w:line="290" w:lineRule="auto"/>
        <w:ind w:left="540" w:hanging="279"/>
      </w:pPr>
      <w:r>
        <w:rPr>
          <w:rFonts w:ascii="Noto Sans SC" w:hAnsi="Noto Sans SC" w:eastAsia="Noto Sans SC"/>
          <w:b w:val="0"/>
          <w:i w:val="0"/>
          <w:color w:val="0B0B0D"/>
          <w:sz w:val="21"/>
        </w:rPr>
        <w:t>确定首个区域、场地、服务人群和预算。</w:t>
      </w:r>
    </w:p>
    <w:p>
      <w:pPr>
        <w:pStyle w:val="ListBullet"/>
        <w:spacing w:after="80" w:line="290" w:lineRule="auto"/>
        <w:ind w:left="540" w:hanging="279"/>
      </w:pPr>
      <w:r>
        <w:rPr>
          <w:rFonts w:ascii="Noto Sans SC" w:hAnsi="Noto Sans SC" w:eastAsia="Noto Sans SC"/>
          <w:b w:val="0"/>
          <w:i w:val="0"/>
          <w:color w:val="0B0B0D"/>
          <w:sz w:val="21"/>
        </w:rPr>
        <w:t>确定首批课程、导师和健康转介伙伴。</w:t>
      </w:r>
    </w:p>
    <w:p>
      <w:pPr>
        <w:pStyle w:val="ListBullet"/>
        <w:spacing w:after="80" w:line="290" w:lineRule="auto"/>
        <w:ind w:left="540" w:hanging="279"/>
      </w:pPr>
      <w:r>
        <w:rPr>
          <w:rFonts w:ascii="Noto Sans SC" w:hAnsi="Noto Sans SC" w:eastAsia="Noto Sans SC"/>
          <w:b w:val="0"/>
          <w:i w:val="0"/>
          <w:color w:val="0B0B0D"/>
          <w:sz w:val="21"/>
        </w:rPr>
        <w:t>确认网站域名、联系人、数据主体和备案安排。</w:t>
      </w:r>
    </w:p>
    <w:tbl>
      <w:tblPr>
        <w:tblW w:type="dxa" w:w="9520"/>
        <w:jc w:val="center"/>
        <w:tblLook w:firstColumn="1" w:firstRow="1" w:lastColumn="0" w:lastRow="0" w:noHBand="0" w:noVBand="1" w:val="04A0"/>
        <w:tblLayout w:type="fixed"/>
        <w:tblInd w:w="0" w:type="dxa"/>
      </w:tblPr>
      <w:tblGrid>
        <w:gridCol w:w="9520"/>
      </w:tblGrid>
      <w:tr>
        <w:tc>
          <w:tcPr>
            <w:tcW w:type="dxa" w:w="9520"/>
            <w:tcMar>
              <w:top w:w="100" w:type="dxa"/>
              <w:start w:w="140" w:type="dxa"/>
              <w:bottom w:w="100" w:type="dxa"/>
              <w:end w:w="140" w:type="dxa"/>
            </w:tcMar>
            <w:shd w:fill="F4F1EA"/>
            <w:vAlign w:val="center"/>
          </w:tcPr>
          <w:p>
            <w:pPr>
              <w:spacing w:after="60"/>
            </w:pPr>
            <w:r>
              <w:rPr>
                <w:rFonts w:ascii="Noto Sans SC" w:hAnsi="Noto Sans SC" w:eastAsia="Noto Sans SC"/>
                <w:b/>
                <w:i w:val="0"/>
                <w:color w:val="FF4B3E"/>
                <w:sz w:val="22"/>
              </w:rPr>
              <w:t>核心行动</w:t>
            </w:r>
          </w:p>
          <w:p>
            <w:pPr>
              <w:spacing w:after="0" w:line="288" w:lineRule="auto"/>
            </w:pPr>
            <w:r>
              <w:rPr>
                <w:rFonts w:ascii="Noto Sans SC" w:hAnsi="Noto Sans SC" w:eastAsia="Noto Sans SC"/>
                <w:b w:val="0"/>
                <w:i w:val="0"/>
                <w:color w:val="4B4B4F"/>
                <w:sz w:val="19"/>
              </w:rPr>
              <w:t>申请共建成长中心：政府部门、协会、高校、中小学、科技企业、基金与公益机构均可进入共建评估。</w:t>
            </w:r>
          </w:p>
        </w:tc>
      </w:tr>
    </w:tbl>
    <w:p>
      <w:pPr>
        <w:spacing w:after="0"/>
      </w:pPr>
    </w:p>
    <w:p>
      <w:pPr>
        <w:spacing w:before="240" w:after="0"/>
      </w:pPr>
      <w:r>
        <w:rPr>
          <w:rFonts w:ascii="Noto Sans SC" w:hAnsi="Noto Sans SC" w:eastAsia="Noto Sans SC"/>
          <w:b w:val="0"/>
          <w:i/>
          <w:color w:val="4B4B4F"/>
          <w:sz w:val="16"/>
        </w:rPr>
        <w:t>状态说明：本页为 V1.2 HSKB V13 对外沟通内容；涉及合作、人物、数据、预算、机构标志及官方关联，以书面授权和正式文件为准。</w:t>
      </w:r>
    </w:p>
    <w:sectPr w:rsidR="00FC693F" w:rsidRPr="0006063C" w:rsidSect="00034616">
      <w:headerReference w:type="default" r:id="rId9"/>
      <w:footerReference w:type="default" r:id="rId10"/>
      <w:pgSz w:w="11906" w:h="16838"/>
      <w:pgMar w:top="1134" w:right="1191" w:bottom="1020" w:left="1191" w:header="510"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520"/>
      <w:jc w:val="center"/>
      <w:tblLook w:firstColumn="1" w:firstRow="1" w:lastColumn="0" w:lastRow="0" w:noHBand="0" w:noVBand="1" w:val="04A0"/>
      <w:tblLayout w:type="fixed"/>
      <w:tblInd w:w="0" w:type="dxa"/>
    </w:tblPr>
    <w:tblGrid>
      <w:gridCol w:w="6800"/>
      <w:gridCol w:w="2720"/>
    </w:tblGrid>
    <w:tr>
      <w:tc>
        <w:tcPr>
          <w:tcW w:type="dxa" w:w="6800"/>
          <w:tcMar>
            <w:top w:w="100" w:type="dxa"/>
            <w:start w:w="140" w:type="dxa"/>
            <w:bottom w:w="100" w:type="dxa"/>
            <w:end w:w="140" w:type="dxa"/>
          </w:tcMar>
        </w:tcPr>
        <w:p>
          <w:pPr>
            <w:jc w:val="left"/>
          </w:pPr>
          <w:r>
            <w:rPr>
              <w:rFonts w:ascii="Noto Sans SC" w:hAnsi="Noto Sans SC" w:eastAsia="Noto Sans SC"/>
              <w:b w:val="0"/>
              <w:i w:val="0"/>
              <w:color w:val="4B4B4F"/>
              <w:sz w:val="16"/>
            </w:rPr>
            <w:t>博格港湾青少年智能科技成长中心｜项目介绍书 · HSKB V13 · V1.2 · hskb.com</w:t>
          </w:r>
        </w:p>
      </w:tc>
      <w:tc>
        <w:tcPr>
          <w:tcW w:type="dxa" w:w="2720"/>
          <w:tcMar>
            <w:top w:w="100" w:type="dxa"/>
            <w:start w:w="140" w:type="dxa"/>
            <w:bottom w:w="100" w:type="dxa"/>
            <w:end w:w="140" w:type="dxa"/>
          </w:tcMar>
        </w:tcPr>
        <w:p>
          <w:pPr>
            <w:jc w:val="right"/>
          </w:pPr>
          <w:r>
            <w:rPr>
              <w:rFonts w:ascii="Noto Sans SC" w:hAnsi="Noto Sans SC" w:eastAsia="Noto Sans SC"/>
              <w:b w:val="0"/>
              <w:i w:val="0"/>
              <w:color w:val="4B4B4F"/>
              <w:sz w:val="17"/>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Noto Sans SC" w:hAnsi="Noto Sans SC" w:eastAsia="Noto Sans SC"/>
        <w:b/>
        <w:i w:val="0"/>
        <w:color w:val="FF4B3E"/>
        <w:sz w:val="17"/>
      </w:rPr>
      <w:t>HSKB  ·  HARBOR STEM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320" w:lineRule="auto"/>
      <w:jc w:val="left"/>
    </w:pPr>
    <w:rPr>
      <w:rFonts w:ascii="Noto Sans SC" w:hAnsi="Noto Sans SC" w:eastAsia="Noto Sans SC"/>
      <w:color w:val="0B0B0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Noto Sans SC" w:hAnsi="Noto Sans SC" w:eastAsia="Noto Sans SC"/>
      <w:b/>
      <w:bCs/>
      <w:color w:val="0B0B0D"/>
      <w:sz w:val="44"/>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Noto Sans SC" w:hAnsi="Noto Sans SC" w:eastAsia="Noto Sans SC"/>
      <w:b/>
      <w:bCs/>
      <w:color w:val="0B0B0D"/>
      <w:sz w:val="28"/>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Noto Sans SC" w:hAnsi="Noto Sans SC" w:eastAsia="Noto Sans SC"/>
      <w:b/>
      <w:bCs/>
      <w:color w:val="FF4B3E"/>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博格港湾青少年智能科技成长中心｜项目介绍书</dc:title>
  <dc:subject/>
  <dc:creator>博格港湾 HSKB</dc:creator>
  <cp:keywords/>
  <dc:description>V1.2 HSKB V13 对外沟通版；合作、人物、预算及签约内容以正式书面文件为准。</dc:description>
  <cp:lastModifiedBy>博格港湾 HSKB</cp:lastModifiedBy>
  <cp:revision>1</cp:revision>
  <dcterms:created xsi:type="dcterms:W3CDTF">2013-12-23T23:15:00Z</dcterms:created>
  <dcterms:modified xsi:type="dcterms:W3CDTF">2013-12-23T23:15:00Z</dcterms:modified>
  <cp:category/>
</cp:coreProperties>
</file>