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2052000" cy="468540"/>
            <wp:docPr id="1" name="Picture 1" descr="博格港湾 Harbor Stem 品牌标志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hskb-v13-primar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2000" cy="4685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keepLines w:val="0"/>
        <w:spacing w:before="36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HSKB · SHENZHEN · GREATER BAY AREA · THE WORLD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56"/>
        </w:rPr>
        <w:t>港湾青少年智能科技成长中心｜合作意向项目书</w:t>
      </w:r>
    </w:p>
    <w:p>
      <w:pPr>
        <w:keepLines w:val="0"/>
        <w:spacing w:before="0" w:after="40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8"/>
        </w:rPr>
        <w:t>面向政府、协会、学校、高校、科技企业与公益伙伴的共建沟通文件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6480"/>
        <w:gridCol w:w="3260"/>
      </w:tblGrid>
      <w:tr>
        <w:trPr>
          <w:cantSplit/>
        </w:trPr>
        <w:tc>
          <w:tcPr>
            <w:tcW w:type="dxa" w:w="648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34"/>
              </w:rPr>
              <w:t>给好奇心一座港湾，</w:t>
              <w:br/>
              <w:t>让创造力驶向未来。</w:t>
            </w:r>
          </w:p>
          <w:p>
            <w:r>
              <w:rPr>
                <w:rFonts w:ascii="Noto Sans SC" w:hAnsi="Noto Sans SC" w:eastAsia="Noto Sans SC"/>
                <w:b w:val="0"/>
                <w:i w:val="0"/>
                <w:color w:val="D6D3CC"/>
                <w:sz w:val="20"/>
              </w:rPr>
              <w:t>让每一种天赋被看见、被支持、被点亮。</w:t>
            </w:r>
          </w:p>
        </w:tc>
        <w:tc>
          <w:tcPr>
            <w:tcW w:type="dxa" w:w="326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24"/>
              </w:rPr>
              <w:t>V1.2</w:t>
              <w:br/>
              <w:t>2026.08</w:t>
              <w:br/>
              <w:br/>
              <w:t>对外沟通初版</w:t>
            </w:r>
          </w:p>
        </w:tc>
      </w:tr>
    </w:tbl>
    <w:p>
      <w:pPr>
        <w:keepLines w:val="0"/>
        <w:spacing w:before="360" w:after="16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4B4B4F"/>
          <w:sz w:val="19"/>
        </w:rPr>
        <w:t>非约束性合作意向文件｜用于定义试点范围、责任、交付与下一步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文件状态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本文件用于意向沟通与方案共创，不构成录取、投资回报、独家授权、政府背书或最终合同承诺。合作单位、顾问履历、预算、案例与数据以正式授权及签约文件为准。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320" w:after="14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4B4B4F"/>
          <w:sz w:val="18"/>
        </w:rPr>
        <w:t>项目倡导人：郭丹锐  ｜  创始合伙人：Mia Huang  ｜  项目顾问：佘国治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02  /  EXECUTIVE SUMMARY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一页读懂合作项目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建设一座服务义务教育阶段为主、连接政府协会学校大学企业与公益的城市级青少年成长基础设施。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核心模型：一张动态成长地图 + 五类导师 + 六大成长系统 + N个真实场景。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共同节奏：30天完成准备，90天完成可验证试点，一个学年完成成效评估。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共同底线：儿童保护、数据最少必要、AI辅助不替代教师与持证专业人员。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本轮合作目标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确定一条落地路径、一个试点单元、一份责任清单和一次正式方案共创会。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03  /  PROJECT POSITIONING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项目定位与品牌架构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HSKB是文化母体与运营品牌，港湾青少年智能科技成长中心是面向区域、学校、企业及公益伙伴的公共共建项目。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博｜博爱：看见不同起点、节奏与天赋。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格｜格新：以科技、创意和破格机制支持成长。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港｜连接与停靠：连接香港与国际资源，也提供安全补给。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湾｜湾区协同：连接城市群、产业群、大学群。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品牌主张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给好奇心一座港湾，让创造力驶向未来。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04  /  SIX GROWTH SYSTEMS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六大成长系统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六大模块共享同一成长档案和导师协同机制，避免课程、研学与升学服务各自为战。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900"/>
        <w:gridCol w:w="2700"/>
        <w:gridCol w:w="6140"/>
      </w:tblGrid>
      <w:tr>
        <w:trPr>
          <w:cantSplit/>
          <w:tblHeader w:val="true"/>
          <w:cantSplit/>
        </w:trPr>
        <w:tc>
          <w:tcPr>
            <w:tcW w:type="dxa" w:w="9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序号</w:t>
            </w:r>
          </w:p>
        </w:tc>
        <w:tc>
          <w:tcPr>
            <w:tcW w:type="dxa" w:w="27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成长系统</w:t>
            </w:r>
          </w:p>
        </w:tc>
        <w:tc>
          <w:tcPr>
            <w:tcW w:type="dxa" w:w="61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核心机制</w:t>
            </w:r>
          </w:p>
        </w:tc>
      </w:tr>
      <w:tr>
        <w:trPr>
          <w:cantSplit/>
        </w:trPr>
        <w:tc>
          <w:tcPr>
            <w:tcW w:type="dxa" w:w="9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01</w:t>
            </w:r>
          </w:p>
        </w:tc>
        <w:tc>
          <w:tcPr>
            <w:tcW w:type="dxa" w:w="27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AI辅助高效学习</w:t>
            </w:r>
          </w:p>
        </w:tc>
        <w:tc>
          <w:tcPr>
            <w:tcW w:type="dxa" w:w="61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诊断—AI计划—自主学习—学生讲解—导师答疑—复盘迁移</w:t>
            </w:r>
          </w:p>
        </w:tc>
      </w:tr>
      <w:tr>
        <w:trPr>
          <w:cantSplit/>
        </w:trPr>
        <w:tc>
          <w:tcPr>
            <w:tcW w:type="dxa" w:w="9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02</w:t>
            </w:r>
          </w:p>
        </w:tc>
        <w:tc>
          <w:tcPr>
            <w:tcW w:type="dxa" w:w="27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科创与项目制实践</w:t>
            </w:r>
          </w:p>
        </w:tc>
        <w:tc>
          <w:tcPr>
            <w:tcW w:type="dxa" w:w="61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真实问题—研究—原型—测试—表达—创新日记</w:t>
            </w:r>
          </w:p>
        </w:tc>
      </w:tr>
      <w:tr>
        <w:trPr>
          <w:cantSplit/>
        </w:trPr>
        <w:tc>
          <w:tcPr>
            <w:tcW w:type="dxa" w:w="9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03</w:t>
            </w:r>
          </w:p>
        </w:tc>
        <w:tc>
          <w:tcPr>
            <w:tcW w:type="dxa" w:w="27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天赋发现与定制培养</w:t>
            </w:r>
          </w:p>
        </w:tc>
        <w:tc>
          <w:tcPr>
            <w:tcW w:type="dxa" w:w="61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多元证据、一人一案、五类导师、N个开放场景</w:t>
            </w:r>
          </w:p>
        </w:tc>
      </w:tr>
      <w:tr>
        <w:trPr>
          <w:cantSplit/>
        </w:trPr>
        <w:tc>
          <w:tcPr>
            <w:tcW w:type="dxa" w:w="9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04</w:t>
            </w:r>
          </w:p>
        </w:tc>
        <w:tc>
          <w:tcPr>
            <w:tcW w:type="dxa" w:w="27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全人健康教育</w:t>
            </w:r>
          </w:p>
        </w:tc>
        <w:tc>
          <w:tcPr>
            <w:tcW w:type="dxa" w:w="61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人格、心理、生理、环境与生活能力；专业问题依法转介</w:t>
            </w:r>
          </w:p>
        </w:tc>
      </w:tr>
      <w:tr>
        <w:trPr>
          <w:cantSplit/>
        </w:trPr>
        <w:tc>
          <w:tcPr>
            <w:tcW w:type="dxa" w:w="9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05</w:t>
            </w:r>
          </w:p>
        </w:tc>
        <w:tc>
          <w:tcPr>
            <w:tcW w:type="dxa" w:w="27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城市企业大学研学</w:t>
            </w:r>
          </w:p>
        </w:tc>
        <w:tc>
          <w:tcPr>
            <w:tcW w:type="dxa" w:w="61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深圳与大湾区真实场景、企业工程题与大学研究方法</w:t>
            </w:r>
          </w:p>
        </w:tc>
      </w:tr>
      <w:tr>
        <w:trPr>
          <w:cantSplit/>
        </w:trPr>
        <w:tc>
          <w:tcPr>
            <w:tcW w:type="dxa" w:w="9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06</w:t>
            </w:r>
          </w:p>
        </w:tc>
        <w:tc>
          <w:tcPr>
            <w:tcW w:type="dxa" w:w="27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生涯升学与人才衔接</w:t>
            </w:r>
          </w:p>
        </w:tc>
        <w:tc>
          <w:tcPr>
            <w:tcW w:type="dxa" w:w="61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成长档案、多元升学、作品集及经授权的人才推荐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05  /  FOUR PATHWAYS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四类主体的落地入口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不同伙伴从不同责任与资源进入同一质量体系。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30—60名学生 / 一个年级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校本课程、教师共备、成长档案、成果展示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学生与家庭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30天体验—90天项目—学年培养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一人一案、学习支持、科创项目、成长建议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政府与协会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一个片区 / 一个公共空间 / 一个主题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联席治理、公共价值指标、区域示范与复制标准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科技企业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一个真实课题 / 一组工程导师 / 一个开放场景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教育转译、项目交付、社会价值与人才生态成果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06  /  COOPERATION PACKAGES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四种可签约的合作包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先用可验收的产品达成合作，再逐步升级为区域网络。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A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90天示范试点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需求诊断、基线、课程/项目、成果日、试点评估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B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学校学年计划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天赋发现、AI学习支持、一生一项目、教师共备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C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企业主题中心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真实课题、工程导师、场景设备、CSR/ESG报告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D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区域成长中心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治理机制、场地、团队、六大系统、年度影响评估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建议顺序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先签90天试点或单一项目包；通过质量验收后再讨论学年项目、中心共建及品牌授权。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07  /  STUDENT STANDARD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每一名学生都进入同一成长闭环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发现—设计—实践—呈现—衔接，每一步留下可复核的成长证据。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发现：测评、学业诊断、访谈与项目行为观察。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设计：目标、路线、导师责任和健康支持边界。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实践：AI学习、科创项目、城市与企业大学场景。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呈现：原型、作品集、研究报告与公开答辩。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衔接：生涯、升学、导师网络及经授权的人才库推荐。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反标签原则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不以一次测评认定‘天才’，不以单一成绩淘汰学生，不把健康信息用于营销或人才推荐。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08  /  SCHOOL PLAN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学校落地：从一个年级开始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学校负责学生组织、校内教育安全与家校协同；中心负责诊断、课程、项目、导师、档案与评估。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第1—10天：需求、资源与风险访谈。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第11—30天：学生对象、校历、场地、导师和安全预案。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第31—60天：基线、教师共备、首轮AI学习与项目任务。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第61—90天：原型、展示、学生复盘与校方评估。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学校验收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学生参与和成长证据、课程复用、教师共备、家校协同和风险闭环同时达标。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09  /  GOVERNMENT PLAN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政府与协会：形成区域示范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以一个片区、公共空间或主题项目组织学校、大学、企业、协会与专业机构。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建立联席治理：明确牵头、运营、监督、数据与安全责任。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形成资源图谱：学校、场地、导师、课题、转介与公益资源。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运行90天示范：公开招募、基线、项目、成果日和风险复盘。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提交公共价值报告：覆盖、公平、成长、协同、合规与成本效率。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状态边界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不得未经授权暗示政府主办、官方背书或APEC官方合作。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10  /  ENTERPRISE PLAN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科技企业：把工程世界转化为教育项目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企业提供经脱敏与适龄处理的真实课题、工程导师、场景或设备；中心完成教育转译与安全交付。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课题准入：商业秘密、不适龄内容和不可控风险剔除。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教育转译：形成8—12周任务书、学习目标、材料设备和评价。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导师节点：启动、阶段评审、最终评审与未成年人沟通规范。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成果边界：知识产权、保密、肖像与后续孵化按书面协议执行。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企业交付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项目课程与导师手册、学生成果档案、社会价值报告及下一期改进建议。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11  /  GOVERNANCE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拟联合发起与项目治理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三方平台平等呈现，博格港湾承担品牌、产品、项目管理与运营服务。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拟联合发起平台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公共协同、教育与科技资源、标准与行业连接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博格港湾 HSKB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品牌、产品、项目管理、中心运营、质量与交付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学校/企业/高校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学生与校内衔接 / 真实课题与场景 / 导师与研究方法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持证专业机构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心理、医疗与健康专业评估、服务与转介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当前状态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深圳市生涯规划与发展协会、深高教育联盟、深圳青少年科技创新协会：拟联合发起，已初步达成意向，待正式签约。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12  /  FOUNDING &amp; ADVISORY TEAM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创始合伙人与顾问团队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团队以战略倡导、合规治理、教育质量和专业监督共同支撑项目。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600"/>
        <w:gridCol w:w="4050"/>
        <w:gridCol w:w="4090"/>
      </w:tblGrid>
      <w:tr>
        <w:trPr>
          <w:cantSplit/>
          <w:tblHeader w:val="true"/>
          <w:cantSplit/>
        </w:trPr>
        <w:tc>
          <w:tcPr>
            <w:tcW w:type="dxa" w:w="16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角色</w:t>
            </w:r>
          </w:p>
        </w:tc>
        <w:tc>
          <w:tcPr>
            <w:tcW w:type="dxa" w:w="40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姓名 / 身份</w:t>
            </w:r>
          </w:p>
        </w:tc>
        <w:tc>
          <w:tcPr>
            <w:tcW w:type="dxa" w:w="40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在项目中的职责</w:t>
            </w:r>
          </w:p>
        </w:tc>
      </w:tr>
      <w:tr>
        <w:trPr>
          <w:cantSplit/>
        </w:trPr>
        <w:tc>
          <w:tcPr>
            <w:tcW w:type="dxa" w:w="16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项目倡导人</w:t>
            </w:r>
          </w:p>
        </w:tc>
        <w:tc>
          <w:tcPr>
            <w:tcW w:type="dxa" w:w="40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郭丹锐</w:t>
              <w:br/>
              <w:t>北京大学广东校友会副会长；科技创业投资人、科创导师；Xccelerate科技基金会（XTF）合伙人&amp;基金经理</w:t>
            </w:r>
          </w:p>
        </w:tc>
        <w:tc>
          <w:tcPr>
            <w:tcW w:type="dxa" w:w="40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战略倡导、产业与基金连接、科创导师网络、公共合作推动</w:t>
            </w:r>
          </w:p>
        </w:tc>
      </w:tr>
      <w:tr>
        <w:trPr>
          <w:cantSplit/>
        </w:trPr>
        <w:tc>
          <w:tcPr>
            <w:tcW w:type="dxa" w:w="16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创始合伙人</w:t>
            </w:r>
          </w:p>
        </w:tc>
        <w:tc>
          <w:tcPr>
            <w:tcW w:type="dxa" w:w="40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Mia Huang</w:t>
              <w:br/>
              <w:t>公募基金合规部负责人</w:t>
            </w:r>
          </w:p>
        </w:tc>
        <w:tc>
          <w:tcPr>
            <w:tcW w:type="dxa" w:w="40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合规治理、风险框架、伙伴准入、信息披露与制度建设</w:t>
            </w:r>
          </w:p>
        </w:tc>
      </w:tr>
      <w:tr>
        <w:trPr>
          <w:cantSplit/>
        </w:trPr>
        <w:tc>
          <w:tcPr>
            <w:tcW w:type="dxa" w:w="16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项目顾问</w:t>
            </w:r>
          </w:p>
        </w:tc>
        <w:tc>
          <w:tcPr>
            <w:tcW w:type="dxa" w:w="40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佘国治</w:t>
            </w:r>
          </w:p>
        </w:tc>
        <w:tc>
          <w:tcPr>
            <w:tcW w:type="dxa" w:w="40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教育治理、学校发展、人才培养机制与重大质量建议</w:t>
            </w:r>
          </w:p>
        </w:tc>
      </w:tr>
      <w:tr>
        <w:trPr>
          <w:cantSplit/>
        </w:trPr>
        <w:tc>
          <w:tcPr>
            <w:tcW w:type="dxa" w:w="16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顾问团队</w:t>
            </w:r>
          </w:p>
        </w:tc>
        <w:tc>
          <w:tcPr>
            <w:tcW w:type="dxa" w:w="40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教育 / 科创 / 健康 / 合规 / 公益席位</w:t>
            </w:r>
          </w:p>
        </w:tc>
        <w:tc>
          <w:tcPr>
            <w:tcW w:type="dxa" w:w="40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按准入、利益冲突、年度履职与对外授权机制逐步邀请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人物信息说明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姓名、照片及履历由项目方提供；首版仅公开已确认信息，完整履历、机构身份和肖像使用范围以本人书面授权为准。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13  /  30 / 90 / 365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共同实施节奏与决策门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每一阶段都设置进入条件、交付结果与停止机制。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0—30天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准备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签署意向/试点文件；完成对象、资源、资质和风险确认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31—60天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运行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完成基线、首轮任务、导师记录和阶段复盘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61—90天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验证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形成作品/原型、成果日和试点评估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一个学年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沉淀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持续项目、年度成长评估和复制标准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14  /  DELIVERABLES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合作交付与评价指标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项目既交付教育过程，也交付可复核的组织成果。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学生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成长地图、学习记录、项目成果、反思与下一步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参与持续率、策略使用、项目迭代、外部反馈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课程包、教师共备、学生档案、学年报告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课程复用、教师参与、家校满意、风险闭环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政府/协会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治理方案、资源图谱、公共价值报告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覆盖公平、资源活跃、合规与成本效率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企业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课题标准、导师手册、成果档案、影响报告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课题质量、导师投入、成果复用与社会价值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15  /  CHILD PROTECTION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儿童保护、数据与健康边界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任何合作都必须先通过五项最低标准：空间、团队、课程项目、数据治理、儿童保护。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最少必要：只收集当前服务必需信息。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监护人知情：提供查阅、更正、撤回与删除机制。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人工负责：AI信号不直接作高风险决定。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专业转介：心理、生理、医疗问题由持证机构承接。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传播授权：未成年人肖像、作品和健康信息单独授权。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停止条件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资质不全、安全预案缺失、数据责任不清或出现不可控未成年人风险时，不进入或立即暂停学生服务。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16  /  INTENTION FRAMEWORK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合作意向确认清单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以下事项用于双方第一次正式方案会，不代表已签约。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合作主体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机构全称 / 法定主体 / 授权联系人：________________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试点路径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 / 学生家庭 / 政府协会 / 科技企业：____________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服务对象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年龄、人数、区域、首要问题：______________________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投入资源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场地、导师、课题、设备、资金、传播：______________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时间计划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拟启动日期 / 90天成果日：__________________________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下一步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保密协议 / 尽调 / 方案共创 / 预算 / 正式合同：________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17  /  NEXT STEP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从一次正式方案共创会开始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建议双方各指定一名决策联系人和一名执行联系人，在10个工作日内完成试点范围、责任、预算与风险台账。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会前：交换主体资质、场地/学校需求、资源清单和授权联系人。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会上：确定一个最小试点单元与四项关键指标。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会后：形成试点方案、预算、责任矩阵、数据与儿童保护附件。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22"/>
              </w:rPr>
              <w:t>申请共建成长中心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FFFFFF"/>
                <w:sz w:val="18"/>
              </w:rPr>
              <w:t>政府部门、协会、高校、中小学、科技企业、基金与公益机构均可进入共建评估。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907" w:left="1077" w:header="425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</w:pPr>
    <w:r>
      <w:rPr>
        <w:rFonts w:ascii="Noto Sans SC" w:hAnsi="Noto Sans SC" w:eastAsia="Noto Sans SC"/>
        <w:b w:val="0"/>
        <w:i w:val="0"/>
        <w:color w:val="4B4B4F"/>
        <w:sz w:val="16"/>
      </w:rPr>
      <w:t>港湾青少年智能科技成长中心｜合作意向项目书  ·  V1.2  ·  hskb.com</w:t>
    </w:r>
    <w:r>
      <w:rPr>
        <w:rFonts w:ascii="Noto Sans SC" w:hAnsi="Noto Sans SC" w:eastAsia="Noto Sans SC"/>
        <w:b w:val="0"/>
        <w:i w:val="0"/>
        <w:color w:val="0B0B0D"/>
        <w:sz w:val="16"/>
      </w:rPr>
      <w:t xml:space="preserve">                                                        </w:t>
    </w:r>
    <w:r>
      <w:rPr>
        <w:rFonts w:ascii="Noto Sans SC" w:hAnsi="Noto Sans SC" w:eastAsia="Noto Sans SC"/>
        <w:b w:val="0"/>
        <w:i w:val="0"/>
        <w:color w:val="4B4B4F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Noto Sans SC" w:hAnsi="Noto Sans SC" w:eastAsia="Noto Sans SC"/>
        <w:b/>
        <w:i w:val="0"/>
        <w:color w:val="FF4B3E"/>
        <w:sz w:val="16"/>
      </w:rPr>
      <w:t>HSKB  ·  HARBOR STEM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line="324" w:lineRule="auto" w:after="140"/>
    </w:pPr>
    <w:rPr>
      <w:rFonts w:ascii="Noto Sans SC" w:hAnsi="Noto Sans SC" w:eastAsia="Noto Sans SC"/>
      <w:color w:val="0B0B0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Noto Sans SC" w:hAnsi="Noto Sans SC" w:eastAsia="Noto Sans SC"/>
      <w:b/>
      <w:bCs/>
      <w:color w:val="0B0B0D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Noto Sans SC" w:hAnsi="Noto Sans SC" w:eastAsia="Noto Sans SC"/>
      <w:b/>
      <w:bCs/>
      <w:color w:val="0B0B0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Noto Sans SC" w:hAnsi="Noto Sans SC" w:eastAsia="Noto Sans SC"/>
      <w:b/>
      <w:bCs/>
      <w:color w:val="FF4B3E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港湾青少年智能科技成长中心｜合作意向项目书</dc:title>
  <dc:subject>面向政府、协会、学校、高校、科技企业与公益伙伴的共建沟通文件</dc:subject>
  <dc:creator>博格港湾 HSKB</dc:creator>
  <cp:keywords/>
  <dc:description>V1.2 对外沟通初版；合作、人物、预算及签约内容以正式书面文件为准。</dc:description>
  <cp:lastModifiedBy>博格港湾 HSKB</cp:lastModifiedBy>
  <cp:revision>1</cp:revision>
  <dcterms:created xsi:type="dcterms:W3CDTF">2013-12-23T23:15:00Z</dcterms:created>
  <dcterms:modified xsi:type="dcterms:W3CDTF">2013-12-23T23:15:00Z</dcterms:modified>
  <cp:category/>
</cp:coreProperties>
</file>