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2052000" cy="468540"/>
            <wp:docPr id="1" name="Picture 1" descr="博格港湾 Harbor Stem 品牌标志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hskb-v13-primar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4685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HSKB · SHENZHEN · GREATER BAY AREA · THE WORLD</w:t>
      </w:r>
    </w:p>
    <w:p>
      <w:pPr>
        <w:spacing w:after="280"/>
      </w:pPr>
      <w:r>
        <w:rPr>
          <w:rFonts w:ascii="Noto Sans SC" w:hAnsi="Noto Sans SC" w:eastAsia="Noto Sans SC"/>
          <w:b/>
          <w:i w:val="0"/>
          <w:color w:val="0B0B0D"/>
          <w:sz w:val="56"/>
        </w:rPr>
        <w:t>港湾青少年智能科技成长中心｜政府共建建议书</w:t>
      </w:r>
    </w:p>
    <w:p>
      <w:pPr>
        <w:spacing w:after="360"/>
      </w:pPr>
      <w:r>
        <w:rPr>
          <w:rFonts w:ascii="Noto Sans SC" w:hAnsi="Noto Sans SC" w:eastAsia="Noto Sans SC"/>
          <w:b/>
          <w:i w:val="0"/>
          <w:color w:val="4B4B4F"/>
          <w:sz w:val="28"/>
        </w:rPr>
        <w:t>关于试点建设青少年智能科技成长中心的建议（讨论稿）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6480"/>
        <w:gridCol w:w="3040"/>
      </w:tblGrid>
      <w:tr>
        <w:tc>
          <w:tcPr>
            <w:tcW w:type="dxa" w:w="6480"/>
            <w:tcMar>
              <w:top w:w="100" w:type="dxa"/>
              <w:start w:w="140" w:type="dxa"/>
              <w:bottom w:w="10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34"/>
              </w:rPr>
              <w:t>给好奇心一座港湾，</w:t>
              <w:br/>
              <w:t>让创造力驶向未来。</w:t>
            </w:r>
          </w:p>
        </w:tc>
        <w:tc>
          <w:tcPr>
            <w:tcW w:type="dxa" w:w="304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r>
              <w:rPr>
                <w:rFonts w:ascii="Noto Sans SC" w:hAnsi="Noto Sans SC" w:eastAsia="Noto Sans SC"/>
                <w:b/>
                <w:i w:val="0"/>
                <w:color w:val="0B0B0D"/>
                <w:sz w:val="24"/>
              </w:rPr>
              <w:t>V1.2</w:t>
              <w:br/>
              <w:t>2026.08</w:t>
              <w:br/>
              <w:br/>
              <w:t>对外沟通版</w:t>
            </w:r>
          </w:p>
        </w:tc>
      </w:tr>
    </w:tbl>
    <w:p>
      <w:pPr>
        <w:spacing w:after="100"/>
      </w:pP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9520"/>
      </w:tblGrid>
      <w:tr>
        <w:tc>
          <w:tcPr>
            <w:tcW w:type="dxa" w:w="9520"/>
            <w:tcMar>
              <w:top w:w="100" w:type="dxa"/>
              <w:start w:w="140" w:type="dxa"/>
              <w:bottom w:w="100" w:type="dxa"/>
              <w:end w:w="140" w:type="dxa"/>
            </w:tcMar>
            <w:shd w:fill="F4F1EA"/>
            <w:vAlign w:val="center"/>
          </w:tcPr>
          <w:p>
            <w:pPr>
              <w:spacing w:after="60"/>
            </w:pPr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呈政府部门、关工委、妇联及相关协会研究</w:t>
            </w:r>
          </w:p>
          <w:p>
            <w:pPr>
              <w:spacing w:after="0" w:line="288" w:lineRule="auto"/>
            </w:pPr>
            <w:r>
              <w:rPr>
                <w:rFonts w:ascii="Noto Sans SC" w:hAnsi="Noto Sans SC" w:eastAsia="Noto Sans SC"/>
                <w:b w:val="0"/>
                <w:i w:val="0"/>
                <w:color w:val="4B4B4F"/>
                <w:sz w:val="19"/>
              </w:rPr>
              <w:t>本文件已按 HSKB V13 统一重制；具体合作、人物、媒体、预算、案例与签约信息以正式授权及书面文件为准。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02 / 建议摘要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建议在深圳试点共建青少年智能科技成长中心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依托协会、教育联盟、学校、高校、科技企业与公益资源，建设以 AI 辅助学习、项目制科创、拔尖创新人才发现、全人健康、城市研学和生涯衔接为核心的开放平台。平台以义务教育阶段为主，通过区域试点形成可评估、可复制的城市协同机制。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建议以政府指导、协会牵引、专业运营、多方共建的方式启动。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建议首个试点以 90 天为周期，先验证需求、流程和质量。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建议同步建立未成年人保护、数据合规和效果评估机制。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9520"/>
      </w:tblGrid>
      <w:tr>
        <w:tc>
          <w:tcPr>
            <w:tcW w:type="dxa" w:w="9520"/>
            <w:tcMar>
              <w:top w:w="100" w:type="dxa"/>
              <w:start w:w="140" w:type="dxa"/>
              <w:bottom w:w="100" w:type="dxa"/>
              <w:end w:w="140" w:type="dxa"/>
            </w:tcMar>
            <w:shd w:fill="F4F1EA"/>
            <w:vAlign w:val="center"/>
          </w:tcPr>
          <w:p>
            <w:pPr>
              <w:spacing w:after="60"/>
            </w:pPr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拟议项目</w:t>
            </w:r>
          </w:p>
          <w:p>
            <w:pPr>
              <w:spacing w:after="0" w:line="288" w:lineRule="auto"/>
            </w:pPr>
            <w:r>
              <w:rPr>
                <w:rFonts w:ascii="Noto Sans SC" w:hAnsi="Noto Sans SC" w:eastAsia="Noto Sans SC"/>
                <w:b w:val="0"/>
                <w:i w:val="0"/>
                <w:color w:val="4B4B4F"/>
                <w:sz w:val="19"/>
              </w:rPr>
              <w:t>博格港湾青少年智能科技成长中心 / 港湾青少年智能科技成长中心。</w:t>
            </w:r>
          </w:p>
        </w:tc>
      </w:tr>
    </w:tbl>
    <w:p>
      <w:pPr>
        <w:spacing w:after="0"/>
      </w:pP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03 / 背景与必要性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公平教育需要差异化成长支持平台作为补充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学校承担基础教育主体责任，但面对学生发展节奏、优势结构和家庭资源的巨大差异，仅靠校内常规课程难以持续提供跨学科项目、大学与企业导师、个性化学习策略和长期生涯陪跑。社会资源丰富但分散，需要公共治理和专业标准把资源转化为安全、连续、可评估的服务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学习困难学生需要更细致的策略与节奏支持。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高潜学生需要更高阶的挑战与真实研究场景。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普通学生需要 AI 素养、城市视野、健康与生活能力。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04 / 政策一致性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项目回应教育数字化、科学教育与身心健康要求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教育部相关文件强调 AI 融入教育全要素与全场景，同时重视人机协同、个性化发展和人文关怀；中小学科学教育强调项目式、探究式、体验式和跨学科学习，充分利用高校、科研院所、科技馆和社会资源；学生心理健康工作强调家校社协同和专业转介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AI 教育：辅助个性化，不替代教师责任。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科学教育：真实问题、跨学科和社会课堂。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健康教育：健康第一、全员参与、专业支持。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9520"/>
      </w:tblGrid>
      <w:tr>
        <w:tc>
          <w:tcPr>
            <w:tcW w:type="dxa" w:w="9520"/>
            <w:tcMar>
              <w:top w:w="100" w:type="dxa"/>
              <w:start w:w="140" w:type="dxa"/>
              <w:bottom w:w="100" w:type="dxa"/>
              <w:end w:w="140" w:type="dxa"/>
            </w:tcMar>
            <w:shd w:fill="F4F1EA"/>
            <w:vAlign w:val="center"/>
          </w:tcPr>
          <w:p>
            <w:pPr>
              <w:spacing w:after="60"/>
            </w:pPr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政策来源</w:t>
            </w:r>
          </w:p>
          <w:p>
            <w:pPr>
              <w:spacing w:after="0" w:line="288" w:lineRule="auto"/>
            </w:pPr>
            <w:r>
              <w:rPr>
                <w:rFonts w:ascii="Noto Sans SC" w:hAnsi="Noto Sans SC" w:eastAsia="Noto Sans SC"/>
                <w:b w:val="0"/>
                <w:i w:val="0"/>
                <w:color w:val="4B4B4F"/>
                <w:sz w:val="19"/>
              </w:rPr>
              <w:t>教育部 2026 AI+教育相关行动、2025 中小学科学教育工作指南、学生心理健康专项行动计划等。</w:t>
            </w:r>
          </w:p>
        </w:tc>
      </w:tr>
    </w:tbl>
    <w:p>
      <w:pPr>
        <w:spacing w:after="0"/>
      </w:pP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05 / 城市机遇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APEC 深圳 2026 为青年创新教育提供国际表达窗口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APEC 2026 的开放、创新与合作议题，与深圳数字经济、科技产业和大湾区协同高度契合。建议在严格遵守官方授权边界的前提下，策划青年 AI 素养、城市科技挑战、深港交流和成果展示，让青少年成为深圳创新城市叙事的参与者。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不未经授权使用 APEC 会标或暗示官方合作。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优先形成具有深圳特色、湾区协同和亚太视野的内容。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06 / 项目目标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形成一套兼顾公平、个性与城市创新的人才成长机制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项目目标包括：建设区域开放平台；为学校提供天赋发现与陪跑；为学习困难学生提供 AI 辅助与专业支持；为高潜学生提供大学、企业和导师资源；形成城市科技项目库；建立动态成长档案和合规人才推荐机制。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短期：完成首个中心和首批项目验证。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中期：形成 3—5 个标准中心与大学—企业—学校网络。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长期：建设大湾区及亚太有影响力的青少年科技成长平台。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07 / 总体方案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一座港湾、一张地图、五类导师、六大系统、N 个场景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项目以区域成长中心为承载，以动态成长档案为连续服务工具，以成长、学术、科研、产业和健康导师为专业力量，以六大成长系统为服务结构，以学校、大学、企业、实验室、社区和国际交流为真实场景。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发现—设计—实践—呈现—衔接形成闭环。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每个阶段产生可验证证据，并由学生参与复盘。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一名成长导师统筹主线，其他导师按阶段进入并留下服务记录。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所有重要判断保留人工复核与调整。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08 / 六大任务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构建从学习到未来的连续支持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六大系统分别为 AI 辅助高效学习与特殊学生帮扶、科创与项目制创新实践、天赋发现与定制培养、人格心理生理与生活健康、城市企业与大学研学、生涯升学与人才衔接。</w:t>
      </w:r>
    </w:p>
    <w:tbl>
      <w:tblPr>
        <w:tblW w:type="dxa" w:w="9520"/>
        <w:tblLook w:firstColumn="1" w:firstRow="1" w:lastColumn="0" w:lastRow="0" w:noHBand="0" w:noVBand="1" w:val="04A0"/>
        <w:tblLayout w:type="fixed"/>
        <w:jc w:val="center"/>
        <w:tblInd w:w="0" w:type="dxa"/>
      </w:tblPr>
      <w:tblGrid>
        <w:gridCol w:w="900"/>
        <w:gridCol w:w="2500"/>
        <w:gridCol w:w="6120"/>
      </w:tblGrid>
      <w:tr>
        <w:trPr>
          <w:tblHeader w:val="true"/>
        </w:trPr>
        <w:tc>
          <w:tcPr>
            <w:tcW w:type="dxa" w:w="900"/>
            <w:tcMar>
              <w:top w:w="100" w:type="dxa"/>
              <w:start w:w="140" w:type="dxa"/>
              <w:bottom w:w="10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18"/>
              </w:rPr>
              <w:t>系统</w:t>
            </w:r>
          </w:p>
        </w:tc>
        <w:tc>
          <w:tcPr>
            <w:tcW w:type="dxa" w:w="2500"/>
            <w:tcMar>
              <w:top w:w="100" w:type="dxa"/>
              <w:start w:w="140" w:type="dxa"/>
              <w:bottom w:w="10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18"/>
              </w:rPr>
              <w:t>模块</w:t>
            </w:r>
          </w:p>
        </w:tc>
        <w:tc>
          <w:tcPr>
            <w:tcW w:type="dxa" w:w="6120"/>
            <w:tcMar>
              <w:top w:w="100" w:type="dxa"/>
              <w:start w:w="140" w:type="dxa"/>
              <w:bottom w:w="10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18"/>
              </w:rPr>
              <w:t>核心交付</w:t>
            </w:r>
          </w:p>
        </w:tc>
      </w:tr>
      <w:tr>
        <w:tc>
          <w:tcPr>
            <w:tcW w:type="dxa" w:w="90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01</w:t>
            </w:r>
          </w:p>
        </w:tc>
        <w:tc>
          <w:tcPr>
            <w:tcW w:type="dxa" w:w="250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AI 辅助学习</w:t>
            </w:r>
          </w:p>
        </w:tc>
        <w:tc>
          <w:tcPr>
            <w:tcW w:type="dxa" w:w="612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诊断、策略、反馈、特殊学生支持</w:t>
            </w:r>
          </w:p>
        </w:tc>
      </w:tr>
      <w:tr>
        <w:tc>
          <w:tcPr>
            <w:tcW w:type="dxa" w:w="90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02</w:t>
            </w:r>
          </w:p>
        </w:tc>
        <w:tc>
          <w:tcPr>
            <w:tcW w:type="dxa" w:w="250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项目制科创</w:t>
            </w:r>
          </w:p>
        </w:tc>
        <w:tc>
          <w:tcPr>
            <w:tcW w:type="dxa" w:w="612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真实问题、原型、迭代、公开表达</w:t>
            </w:r>
          </w:p>
        </w:tc>
      </w:tr>
      <w:tr>
        <w:tc>
          <w:tcPr>
            <w:tcW w:type="dxa" w:w="90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03</w:t>
            </w:r>
          </w:p>
        </w:tc>
        <w:tc>
          <w:tcPr>
            <w:tcW w:type="dxa" w:w="250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天赋培养</w:t>
            </w:r>
          </w:p>
        </w:tc>
        <w:tc>
          <w:tcPr>
            <w:tcW w:type="dxa" w:w="612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多元证据、一人一案、五类导师</w:t>
            </w:r>
          </w:p>
        </w:tc>
      </w:tr>
      <w:tr>
        <w:tc>
          <w:tcPr>
            <w:tcW w:type="dxa" w:w="90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04</w:t>
            </w:r>
          </w:p>
        </w:tc>
        <w:tc>
          <w:tcPr>
            <w:tcW w:type="dxa" w:w="250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全人健康</w:t>
            </w:r>
          </w:p>
        </w:tc>
        <w:tc>
          <w:tcPr>
            <w:tcW w:type="dxa" w:w="612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人格、心理、生理、环境与生活能力</w:t>
            </w:r>
          </w:p>
        </w:tc>
      </w:tr>
      <w:tr>
        <w:tc>
          <w:tcPr>
            <w:tcW w:type="dxa" w:w="90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05</w:t>
            </w:r>
          </w:p>
        </w:tc>
        <w:tc>
          <w:tcPr>
            <w:tcW w:type="dxa" w:w="250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城市研学</w:t>
            </w:r>
          </w:p>
        </w:tc>
        <w:tc>
          <w:tcPr>
            <w:tcW w:type="dxa" w:w="6120"/>
            <w:shd w:fill="FFFFFF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企业、大学、社区与大湾区场景</w:t>
            </w:r>
          </w:p>
        </w:tc>
      </w:tr>
      <w:tr>
        <w:tc>
          <w:tcPr>
            <w:tcW w:type="dxa" w:w="90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06</w:t>
            </w:r>
          </w:p>
        </w:tc>
        <w:tc>
          <w:tcPr>
            <w:tcW w:type="dxa" w:w="250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生涯衔接</w:t>
            </w:r>
          </w:p>
        </w:tc>
        <w:tc>
          <w:tcPr>
            <w:tcW w:type="dxa" w:w="6120"/>
            <w:shd w:fill="F4F1EA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成长档案、多元升学与授权推荐</w:t>
            </w:r>
          </w:p>
        </w:tc>
      </w:tr>
    </w:tbl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六大系统共享同一成长档案和导师协同。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不以单次活动或单项竞赛作为项目终点。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09 / 拔尖创新人才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发现机制与公平机制必须同步设计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采用多元证据发现高潜学生，结合学习表现、兴趣持续、项目行为、创造表达、访谈和导师观察；培养采用一人一案、成长/学术/科研/产业/健康五类导师和开放场景。高净值家庭定制服务支持平台专业能力，学校项目与公益奖助保证普通家庭中的潜能学生也能进入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不以“天才”标签制造焦虑或结果承诺。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不把测评与高价服务捆绑。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不以论文、专利或竞赛数量替代真实能力。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10 / AI 与测评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从一次测评升级为动态成长档案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平台规划学业与策略、兴趣与潜能、项目行为、全人发展和多方观察五类信号。AI 提供整理、提示和个性化建议，教师、导师和专业人员对重要判断负责。首版可先上线说明、预约和基础成长记录，量表、算法和第三方接口经评审后逐步开放。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未成年人数据最少必要、监护人知情、分级权限。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高风险决定不由算法自动作出。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11 / 全人健康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建立教育、观察、转介与跟进的责任链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人格与社会情感教育、心理健康普及、生理健康、环境安全和生活能力共同构成健康板块。中心负责教育、日常观察和转介协调；持证心理、医疗及健康机构负责专业服务；学校和家庭共同跟进。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明确危机识别、应急响应和转介协议。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保护学生隐私，不在公开材料呈现健康信息。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12 / 城市与产业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把深圳和大湾区变成开放课堂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围绕智能制造、绿色城市、公共服务和数字生活建立城市课题库，连接宝安、前海、南山、罗湖，并逐步延伸至香港北部都会区、东莞松山湖和湾区高校。企业提供真实课题、工程导师、场景和质量标准；大学提供导师、实验室、研究方法与教师发展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每次研学包含前置问题、现场任务、成果输出与复盘。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从参访关系升级为共同培养关系。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13 / 治理机制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三方平台拟平等联合发起，运营与监督职责清晰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深圳市生涯规划与发展协会、深高教育联盟、深圳青少年科技创新协会拟平等联合发起，目前为初步意向、待正式签约。博格港湾作为运营服务方，承担品牌、产品、项目管理和中心运营。建议另设专家与监督机制覆盖教育质量、儿童保护、健康转介、数据与财务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正式协议明确权责、出资、知识产权、品牌和退出。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未签约单位不列为支持单位。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14 / 责任矩阵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公共治理、学校育人、企业课题与专业服务各归其位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政府与公共机构负责政策指导、公共价值目标、场地和跨部门协调；学校负责学生发现、校内课程衔接、家校沟通与在校安全；企业负责脱敏真实课题、工程导师、产业场景及专业评价；成长中心负责教育转译、课程项目、导师协同、成长档案、儿童保护和报告；持证机构负责心理、生理及健康专业服务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任何一方都不得以联合品牌替代自身法定职责。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数据、肖像、知识产权、保密、转介和事件响应在试点协议中单列。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未完成资质、授权和安全评估，不进入学生服务。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15 / 试点建议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优先选择资源成熟区域开展 90 天验证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建议从宝安、前海、南山或罗湖选择一个具备场地、学校需求、企业资源和协会协同条件的区域启动。试点不追求大规模招生，而是验证共建流程、课程质量、导师管理、儿童保护、成长档案和成果评价。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0—15 天：组织、品牌和方案确认。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16—30 天：需求、场地、资质和风险评估。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31—60 天：课程、导师、测评入口与学生招募。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61—90 天：项目运行、展示与独立复盘。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16 / 资源与经费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建议采用公共、产业、家庭和公益多元投入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政府与协会资源用于公共服务、场地和示范项目；学校与企业通过项目采购、课题、导师和设备投入；家庭定制服务支持专业团队和长期陪跑；基金和公益资源支持学习困难、特殊需要和高潜但资源不足的学生。具体预算在首个场地和服务规模确认后编制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经费与学生筛选、测评结论保持利益隔离。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建立预算、采购、奖助和社会影响的公开规则。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17 / 评价与监督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以成长证据、机会公平和平台协同评价成效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建议设立机会公平、学习改善、创新实践、全人发展、未来衔接和平台协同六类指标，结合量化数据、作品、访谈、行为观察和外部评审。年度发布社会影响报告，同时建立投诉、利益冲突和风险事件复盘机制。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不以提分率、获奖率或录取率作为唯一绩效。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重大结论保留第三方评估可能。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18 / 主要风险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在启动前建立六类风险台账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合作真实性、未成年人保护、广告与升学表述、商标与冠名、教育健康边界、扩张质量是最重要的六类风险。建议为每项风险明确责任人、触发条件、预防措施、应急流程和复盘要求。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拟合作与已签约严格区分。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不保录、不造神、不滥用政府和名校背书。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先标准化和证据，再发展复制网络。</w:t>
      </w: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p>
      <w:r>
        <w:br w:type="page"/>
      </w:r>
    </w:p>
    <w:p>
      <w:pPr>
        <w:spacing w:before="0" w:after="100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19 / 建议支持事项</w:t>
      </w:r>
    </w:p>
    <w:p>
      <w:pPr>
        <w:pStyle w:val="Heading1"/>
        <w:keepNext/>
        <w:spacing w:before="0" w:after="200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申请政府与协会指导并共同遴选首个试点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1100"/>
        <w:gridCol w:w="8420"/>
      </w:tblGrid>
      <w:tr>
        <w:tc>
          <w:tcPr>
            <w:tcW w:type="dxa" w:w="1100"/>
            <w:tcMar>
              <w:top w:w="100" w:type="dxa"/>
              <w:start w:w="140" w:type="dxa"/>
              <w:bottom w:w="10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420"/>
            <w:tcMar>
              <w:top w:w="100" w:type="dxa"/>
              <w:start w:w="140" w:type="dxa"/>
              <w:bottom w:w="10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spacing w:after="80"/>
      </w:pPr>
    </w:p>
    <w:p>
      <w:pPr>
        <w:spacing w:after="160" w:line="320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建议支持项目开展专题调研，协调符合条件的学校、大学、科技企业和公共场地，指导未成年人保护、数据合规和社会组织合作机制，并在试点完成后组织专业评估。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支持事项一：纳入青少年科技教育或科学教育协同议题。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支持事项二：协调首个区域与公共场地开展需求评估。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支持事项三：推荐高校、学校、企业和公益伙伴进入共建评估。</w:t>
      </w:r>
    </w:p>
    <w:p>
      <w:pPr>
        <w:pStyle w:val="ListBullet"/>
        <w:spacing w:after="80" w:line="290" w:lineRule="auto"/>
        <w:ind w:left="540" w:hanging="279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  <w:t>支持事项四：指导试点的合规、质量和成果展示。</w:t>
      </w:r>
    </w:p>
    <w:tbl>
      <w:tblPr>
        <w:tblW w:type="dxa" w:w="9520"/>
        <w:jc w:val="center"/>
        <w:tblLook w:firstColumn="1" w:firstRow="1" w:lastColumn="0" w:lastRow="0" w:noHBand="0" w:noVBand="1" w:val="04A0"/>
        <w:tblLayout w:type="fixed"/>
        <w:tblInd w:w="0" w:type="dxa"/>
      </w:tblPr>
      <w:tblGrid>
        <w:gridCol w:w="9520"/>
      </w:tblGrid>
      <w:tr>
        <w:tc>
          <w:tcPr>
            <w:tcW w:type="dxa" w:w="9520"/>
            <w:tcMar>
              <w:top w:w="100" w:type="dxa"/>
              <w:start w:w="140" w:type="dxa"/>
              <w:bottom w:w="100" w:type="dxa"/>
              <w:end w:w="140" w:type="dxa"/>
            </w:tcMar>
            <w:shd w:fill="F4F1EA"/>
            <w:vAlign w:val="center"/>
          </w:tcPr>
          <w:p>
            <w:pPr>
              <w:spacing w:after="60"/>
            </w:pPr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申请共建成长中心</w:t>
            </w:r>
          </w:p>
          <w:p>
            <w:pPr>
              <w:spacing w:after="0" w:line="288" w:lineRule="auto"/>
            </w:pPr>
            <w:r>
              <w:rPr>
                <w:rFonts w:ascii="Noto Sans SC" w:hAnsi="Noto Sans SC" w:eastAsia="Noto Sans SC"/>
                <w:b w:val="0"/>
                <w:i w:val="0"/>
                <w:color w:val="4B4B4F"/>
                <w:sz w:val="19"/>
              </w:rPr>
              <w:t>项目组愿在主管部门和协会指导下提交详细实施方案、预算与风险台账。</w:t>
            </w:r>
          </w:p>
        </w:tc>
      </w:tr>
    </w:tbl>
    <w:p>
      <w:pPr>
        <w:spacing w:after="0"/>
      </w:pPr>
    </w:p>
    <w:p>
      <w:pPr>
        <w:spacing w:before="240" w:after="0"/>
      </w:pPr>
      <w:r>
        <w:rPr>
          <w:rFonts w:ascii="Noto Sans SC" w:hAnsi="Noto Sans SC" w:eastAsia="Noto Sans SC"/>
          <w:b w:val="0"/>
          <w:i/>
          <w:color w:val="4B4B4F"/>
          <w:sz w:val="16"/>
        </w:rPr>
        <w:t>状态说明：本页为 V1.2 HSKB V13 对外沟通内容；涉及合作、人物、数据、预算、机构标志及官方关联，以书面授权和正式文件为准。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91" w:bottom="1020" w:left="1191" w:header="510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9520"/>
      <w:jc w:val="center"/>
      <w:tblLook w:firstColumn="1" w:firstRow="1" w:lastColumn="0" w:lastRow="0" w:noHBand="0" w:noVBand="1" w:val="04A0"/>
      <w:tblLayout w:type="fixed"/>
      <w:tblInd w:w="0" w:type="dxa"/>
    </w:tblPr>
    <w:tblGrid>
      <w:gridCol w:w="6800"/>
      <w:gridCol w:w="2720"/>
    </w:tblGrid>
    <w:tr>
      <w:tc>
        <w:tcPr>
          <w:tcW w:type="dxa" w:w="6800"/>
          <w:tcMar>
            <w:top w:w="100" w:type="dxa"/>
            <w:start w:w="140" w:type="dxa"/>
            <w:bottom w:w="100" w:type="dxa"/>
            <w:end w:w="140" w:type="dxa"/>
          </w:tcMar>
        </w:tcPr>
        <w:p>
          <w:pPr>
            <w:jc w:val="left"/>
          </w:pPr>
          <w:r>
            <w:rPr>
              <w:rFonts w:ascii="Noto Sans SC" w:hAnsi="Noto Sans SC" w:eastAsia="Noto Sans SC"/>
              <w:b w:val="0"/>
              <w:i w:val="0"/>
              <w:color w:val="4B4B4F"/>
              <w:sz w:val="16"/>
            </w:rPr>
            <w:t>港湾青少年智能科技成长中心｜政府共建建议书 · HSKB V13 · V1.2 · hskb.com</w:t>
          </w:r>
        </w:p>
      </w:tc>
      <w:tc>
        <w:tcPr>
          <w:tcW w:type="dxa" w:w="2720"/>
          <w:tcMar>
            <w:top w:w="100" w:type="dxa"/>
            <w:start w:w="140" w:type="dxa"/>
            <w:bottom w:w="100" w:type="dxa"/>
            <w:end w:w="140" w:type="dxa"/>
          </w:tcMar>
        </w:tcPr>
        <w:p>
          <w:pPr>
            <w:jc w:val="right"/>
          </w:pPr>
          <w:r>
            <w:rPr>
              <w:rFonts w:ascii="Noto Sans SC" w:hAnsi="Noto Sans SC" w:eastAsia="Noto Sans SC"/>
              <w:b w:val="0"/>
              <w:i w:val="0"/>
              <w:color w:val="4B4B4F"/>
              <w:sz w:val="17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Noto Sans SC" w:hAnsi="Noto Sans SC" w:eastAsia="Noto Sans SC"/>
        <w:b/>
        <w:i w:val="0"/>
        <w:color w:val="FF4B3E"/>
        <w:sz w:val="17"/>
      </w:rPr>
      <w:t>HSKB  ·  HARBOR STEM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320" w:lineRule="auto"/>
      <w:jc w:val="left"/>
    </w:pPr>
    <w:rPr>
      <w:rFonts w:ascii="Noto Sans SC" w:hAnsi="Noto Sans SC" w:eastAsia="Noto Sans SC"/>
      <w:color w:val="0B0B0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Noto Sans SC" w:hAnsi="Noto Sans SC" w:eastAsia="Noto Sans SC"/>
      <w:b/>
      <w:bCs/>
      <w:color w:val="FF4B3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港湾青少年智能科技成长中心｜政府共建建议书</dc:title>
  <dc:subject/>
  <dc:creator>博格港湾 HSKB</dc:creator>
  <cp:keywords/>
  <dc:description>V1.2 HSKB V13 对外沟通版；合作、人物、预算及签约内容以正式书面文件为准。</dc:description>
  <cp:lastModifiedBy>博格港湾 HSKB</cp:lastModifiedBy>
  <cp:revision>1</cp:revision>
  <dcterms:created xsi:type="dcterms:W3CDTF">2013-12-23T23:15:00Z</dcterms:created>
  <dcterms:modified xsi:type="dcterms:W3CDTF">2013-12-23T23:15:00Z</dcterms:modified>
  <cp:category/>
</cp:coreProperties>
</file>